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Information Security Device Access and Records Policy</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Scope and authority</w:t>
      </w:r>
    </w:p>
    <w:p>
      <w:r>
        <w:t>This policy applies to every employee, contractor, vendor, and adviser who uses the Company information, systems, accounts, devices, or records. The Manager approves access and maintains the Access Register. Each entry states the person, system, role, approval date, review date, and removal date.</w:t>
      </w:r>
    </w:p>
    <w:p>
      <w:pPr>
        <w:pStyle w:val="Heading1"/>
      </w:pPr>
      <w:r>
        <w:t>2 Accounts and authentication</w:t>
      </w:r>
    </w:p>
    <w:p>
      <w:r>
        <w:t>Use a unique account assigned to the person in the Access Register.</w:t>
      </w:r>
    </w:p>
    <w:p>
      <w:r>
        <w:t>Enable multi-factor authentication on every Company account and use services that support MFA for administrative access.</w:t>
      </w:r>
    </w:p>
    <w:p>
      <w:r>
        <w:t>Store passwords and recovery codes in the password manager named in the Access Register. Do not send them by ordinary email or text.</w:t>
      </w:r>
    </w:p>
    <w:p>
      <w:r>
        <w:t>Administrative access is limited to the Manager and the named administrator recorded in the Access Register.</w:t>
      </w:r>
    </w:p>
    <w:p>
      <w:pPr>
        <w:pStyle w:val="Heading1"/>
      </w:pPr>
      <w:r>
        <w:t>3 Devices</w:t>
      </w:r>
    </w:p>
    <w:p>
      <w:r>
        <w:t>Record each Company device by owner, custodian, serial number, issue date, approved use, security settings, and return date.</w:t>
      </w:r>
    </w:p>
    <w:p>
      <w:r>
        <w:t>Use full-disk encryption, automatic screen lock within five minutes, supported operating systems, endpoint protection, and automatic security updates.</w:t>
      </w:r>
    </w:p>
    <w:p>
      <w:r>
        <w:t>Install critical security updates within 72 hours and other security updates within 14 days.</w:t>
      </w:r>
    </w:p>
    <w:p>
      <w:r>
        <w:t>Use automatic encrypted backup for Company records kept on a device and record the backup destination in the Device Register.</w:t>
      </w:r>
    </w:p>
    <w:p>
      <w:pPr>
        <w:pStyle w:val="Heading1"/>
      </w:pPr>
      <w:r>
        <w:t>4 Information handling</w:t>
      </w:r>
    </w:p>
    <w:p>
      <w:r>
        <w:t>Classify records as Public, Internal, Restricted, or Highly Restricted.</w:t>
      </w:r>
    </w:p>
    <w:p>
      <w:r>
        <w:t>Keep restricted financial, tax, identity, personnel, credential, and customer records only in the restricted Company records location named in the Access Register.</w:t>
      </w:r>
    </w:p>
    <w:p>
      <w:r>
        <w:t>Share information only with the people listed for the business purpose in the Access Register or agreement.</w:t>
      </w:r>
    </w:p>
    <w:p>
      <w:r>
        <w:t>Use encrypted transfer for restricted files and confirm the recipient before release.</w:t>
      </w:r>
    </w:p>
    <w:p>
      <w:pPr>
        <w:pStyle w:val="Heading1"/>
      </w:pPr>
      <w:r>
        <w:t>5 Email cloud and AI services</w:t>
      </w:r>
    </w:p>
    <w:p>
      <w:r>
        <w:t>Use the Company account and business workspace assigned in the Access Register for Company work.</w:t>
      </w:r>
    </w:p>
    <w:p>
      <w:r>
        <w:t>Record the provider owner, administrators, billing contact, renewal date, payment source, and recovery method in the Provider Register.</w:t>
      </w:r>
    </w:p>
    <w:p>
      <w:r>
        <w:t>Remove customer, personnel, tax, banking, credential, and contract information before using a public or unapproved AI service.</w:t>
      </w:r>
    </w:p>
    <w:p>
      <w:r>
        <w:t>Keep the source document and human approval for business decisions supported by AI output.</w:t>
      </w:r>
    </w:p>
    <w:p>
      <w:pPr>
        <w:pStyle w:val="Heading1"/>
      </w:pPr>
      <w:r>
        <w:t>6 Incidents</w:t>
      </w:r>
    </w:p>
    <w:p>
      <w:r>
        <w:t>Report a lost device, suspicious login, misdirected message, malware alert, exposed password, unauthorized access, or lost record to the Manager immediately and within one hour of discovery.</w:t>
      </w:r>
    </w:p>
    <w:p>
      <w:r>
        <w:t>The Manager records containment, password or key changes, affected records, required notices, recovery, and closeout.</w:t>
      </w:r>
    </w:p>
    <w:p>
      <w:pPr>
        <w:pStyle w:val="Heading1"/>
      </w:pPr>
      <w:r>
        <w:t>7 Access changes and return</w:t>
      </w:r>
    </w:p>
    <w:p>
      <w:r>
        <w:t>Change or remove access at the effective time stated in the personnel, vendor, or project closeout record.</w:t>
      </w:r>
    </w:p>
    <w:p>
      <w:r>
        <w:t>Recover Company devices, keys, records, passwords, and work product and record their return or approved disposal.</w:t>
      </w:r>
    </w:p>
    <w:p>
      <w:r>
        <w:t>Review the Access Register quarterly and after every role change or departure.</w:t>
      </w:r>
    </w:p>
    <w:p>
      <w:pPr>
        <w:keepLines/>
      </w:pPr>
      <w:r>
        <w:rPr>
          <w:sz w:val="16"/>
        </w:rPr>
        <w:t>Source: CSG_Information_Security_Device_Access_and_Records_Policy.docx.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Device Access and Records Policy</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