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drawing>
          <wp:inline xmlns:a="http://schemas.openxmlformats.org/drawingml/2006/main" xmlns:pic="http://schemas.openxmlformats.org/drawingml/2006/picture">
            <wp:extent cx="1645920" cy="520504"/>
            <wp:docPr id="1" name="Picture 1"/>
            <wp:cNvGraphicFramePr>
              <a:graphicFrameLocks noChangeAspect="1"/>
            </wp:cNvGraphicFramePr>
            <a:graphic>
              <a:graphicData uri="http://schemas.openxmlformats.org/drawingml/2006/picture">
                <pic:pic>
                  <pic:nvPicPr>
                    <pic:cNvPr id="0" name="EDM Logo Sep 1, 2026, 12_22_26 AM.png"/>
                    <pic:cNvPicPr/>
                  </pic:nvPicPr>
                  <pic:blipFill>
                    <a:blip r:embed="rId10"/>
                    <a:srcRect l="12000" r="10000" t="32000" b="31000"/>
                    <a:stretch>
                      <a:fillRect/>
                    </a:stretch>
                  </pic:blipFill>
                  <pic:spPr>
                    <a:xfrm>
                      <a:off x="0" y="0"/>
                      <a:ext cx="1645920" cy="520504"/>
                    </a:xfrm>
                    <a:prstGeom prst="rect"/>
                  </pic:spPr>
                </pic:pic>
              </a:graphicData>
            </a:graphic>
          </wp:inline>
        </w:drawing>
      </w:r>
    </w:p>
    <w:p>
      <w:pPr>
        <w:pStyle w:val="Title"/>
        <w:spacing w:after="200"/>
      </w:pPr>
      <w:r>
        <w:t>Injury and Illness Prevention Program</w:t>
      </w:r>
    </w:p>
    <w:p>
      <w:pPr>
        <w:pStyle w:val="Subtitle"/>
      </w:pPr>
      <w:r>
        <w:t>EDM Overhaulers</w:t>
      </w:r>
    </w:p>
    <w:p>
      <w:r>
        <w:t>Editable adaptation draft • September 15, 2026 • Not adopted or executed</w:t>
      </w:r>
    </w:p>
    <w:p>
      <w:r>
        <w:t>EDM’s trailer repair and refurbishment work connects customer approvals, parts, hands-on work and the care of vehicles held for a job. Keep the scope, photographs, costs and completion evidence together in the job folder.</w:t>
      </w:r>
    </w:p>
    <w:p>
      <w:r>
        <w:t>In this draft, “Company” means EDM Overhaulers. Complete the Owner Setup and Tailoring Checklist before adoption or signing. California source provisions require an applicability check for the actual work locations. This draft does not establish employment, insurance or legal status.</w:t>
      </w:r>
    </w:p>
    <w:p>
      <w:pPr>
        <w:pStyle w:val="Heading1"/>
      </w:pPr>
      <w:r>
        <w:t>1 Responsibility</w:t>
      </w:r>
    </w:p>
    <w:p>
      <w:r>
        <w:t>The designated safety lead is the IIPP Administrator and has authority to implement this program, stop unsafe work, arrange correction, assign training, maintain records, and name a qualified alternate in writing.</w:t>
      </w:r>
    </w:p>
    <w:p>
      <w:pPr>
        <w:pStyle w:val="Heading1"/>
      </w:pPr>
      <w:r>
        <w:t>2 Employee compliance</w:t>
      </w:r>
    </w:p>
    <w:p>
      <w:r>
        <w:t>Employees follow safe-work procedures, attend training, use required protective equipment, and report hazards, injuries, and near misses promptly.</w:t>
      </w:r>
    </w:p>
    <w:p>
      <w:r>
        <w:t>Supervisors correct unsafe work and document coaching, retraining, or discipline when needed.</w:t>
      </w:r>
    </w:p>
    <w:p>
      <w:pPr>
        <w:pStyle w:val="Heading1"/>
      </w:pPr>
      <w:r>
        <w:t>3 Communication</w:t>
      </w:r>
    </w:p>
    <w:p>
      <w:r>
        <w:t>Safety information is provided through onboarding, job instructions, written notices, meetings, and training in language employees understand.</w:t>
      </w:r>
    </w:p>
    <w:p>
      <w:r>
        <w:t>Employees may report hazards directly to the IIPP Administrator without retaliation.</w:t>
      </w:r>
    </w:p>
    <w:p>
      <w:r>
        <w:t>The current IIPP is available to employees and authorized representatives; requested access is provided within five business days.</w:t>
      </w:r>
    </w:p>
    <w:p>
      <w:pPr>
        <w:pStyle w:val="Heading1"/>
      </w:pPr>
      <w:r>
        <w:t>4 Inspections and hazard evaluation</w:t>
      </w:r>
    </w:p>
    <w:p>
      <w:r>
        <w:t>The IIPP Administrator completes and files an initial inspection before employees begin work at a location or with a new operation.</w:t>
      </w:r>
    </w:p>
    <w:p>
      <w:r>
        <w:t>Additional inspections occur when new equipment, materials, processes, locations, or procedures introduce a hazard; when a new hazard is reported; and after an incident.</w:t>
      </w:r>
    </w:p>
    <w:p>
      <w:r>
        <w:t>The inspection record states the location, date, inspector, people consulted, hazard, correction owner, due date, and completion evidence.</w:t>
      </w:r>
    </w:p>
    <w:p>
      <w:pPr>
        <w:pStyle w:val="Heading1"/>
      </w:pPr>
      <w:r>
        <w:t>5 Incident investigation</w:t>
      </w:r>
    </w:p>
    <w:p>
      <w:r>
        <w:t>Provide emergency care and secure the area first.</w:t>
      </w:r>
    </w:p>
    <w:p>
      <w:r>
        <w:t>Record the people involved, witnesses, task, equipment, conditions, sequence, contributing causes, corrective actions, reporting requirements, and completion evidence.</w:t>
      </w:r>
    </w:p>
    <w:p>
      <w:r>
        <w:t>Report a serious injury, illness, or death to Cal/OSHA within the time required by current law.</w:t>
      </w:r>
    </w:p>
    <w:p>
      <w:pPr>
        <w:pStyle w:val="Heading1"/>
      </w:pPr>
      <w:r>
        <w:t>6 Hazard correction</w:t>
      </w:r>
    </w:p>
    <w:p>
      <w:r>
        <w:t>Correct hazards promptly according to severity.</w:t>
      </w:r>
    </w:p>
    <w:p>
      <w:r>
        <w:t>Stop affected work and keep employees out of an imminent-hazard area until trained personnel complete the correction and required safeguards are in place.</w:t>
      </w:r>
    </w:p>
    <w:p>
      <w:r>
        <w:t>Attach the repair, purchase, training, inspection, or other completion record to the hazard entry.</w:t>
      </w:r>
    </w:p>
    <w:p>
      <w:pPr>
        <w:pStyle w:val="Heading1"/>
      </w:pPr>
      <w:r>
        <w:t>7 Training</w:t>
      </w:r>
    </w:p>
    <w:p>
      <w:r>
        <w:t>Provide training when the program begins, at hire, for a new assignment, when new equipment or procedures create a hazard, when a new hazard is identified, and when a supervisor needs additional safety instruction.</w:t>
      </w:r>
    </w:p>
    <w:p>
      <w:r>
        <w:t>The training record states the date, subject, instructor, attendees, language or format, and completion evidence.</w:t>
      </w:r>
    </w:p>
    <w:p>
      <w:pPr>
        <w:pStyle w:val="Heading1"/>
      </w:pPr>
      <w:r>
        <w:t>8 Records</w:t>
      </w:r>
    </w:p>
    <w:p>
      <w:r>
        <w:t>Keep inspection and training records for at least one year and longer when another law, contract, claim, insurance requirement, or Company retention schedule applies. Keep this program and its revisions with the safety records.</w:t>
      </w:r>
    </w:p>
    <w:p>
      <w:pPr>
        <w:pStyle w:val="Heading1"/>
      </w:pPr>
      <w:r>
        <w:t>Official basis</w:t>
      </w:r>
    </w:p>
    <w:p>
      <w:r>
        <w:t>California Code of Regulations, title 8, section 3203.</w:t>
      </w:r>
    </w:p>
    <w:p>
      <w:pPr>
        <w:keepLines/>
      </w:pPr>
      <w:r>
        <w:rPr>
          <w:sz w:val="16"/>
        </w:rPr>
        <w:t>Source: CSG_Injury_and_Illness_Prevention_Program.docx. Adapted from retained CSG work; original unchanged. See the owner checklist. This is not legal advice.</w:t>
      </w:r>
    </w:p>
    <w:sectPr w:rsidR="00FC693F" w:rsidRPr="0006063C" w:rsidSect="00034616">
      <w:footerReference w:type="default" r:id="rId9"/>
      <w:headerReference w:type="default" r:id="rId11"/>
      <w:pgSz w:w="12240" w:h="15840"/>
      <w:pgMar w:top="936" w:right="1008" w:bottom="864" w:left="1008"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tabs>
        <w:tab w:val="right" w:pos="10224"/>
      </w:tabs>
    </w:pPr>
    <w:r>
      <w:t>Adaptation draft | Not adopted</w:t>
      <w:tab/>
      <w:t xml:space="preserve">Page </w:t>
    </w:r>
    <w:fldSimple w:instr="PAGE">
      <w:r>
        <w:t>1</w:t>
      </w:r>
    </w:fldSimple>
    <w:r>
      <w:t xml:space="preserve"> of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EDM Overhaulers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color w:val="202A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2E74B5"/>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b/>
      <w:color w:val="142B4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Calibri" w:hAnsi="Calibri"/>
      <w:b w:val="0"/>
      <w:i/>
      <w:iCs/>
      <w:color w:val="66708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Injury and Illness Prevention Program</dc:title>
  <dc:subject/>
  <dc:creator>EDM Overhaulers</dc:creator>
  <cp:keywords/>
  <dc:description/>
  <cp:lastModifiedBy/>
  <cp:revision>1</cp:revision>
  <dcterms:created xsi:type="dcterms:W3CDTF">2013-12-23T23:15:00Z</dcterms:created>
  <dcterms:modified xsi:type="dcterms:W3CDTF">2013-12-23T23:15:00Z</dcterms:modified>
  <cp:category/>
</cp:coreProperties>
</file>