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474720" cy="1098843"/>
            <wp:docPr id="1" name="Picture 1"/>
            <wp:cNvGraphicFramePr>
              <a:graphicFrameLocks noChangeAspect="1"/>
            </wp:cNvGraphicFramePr>
            <a:graphic>
              <a:graphicData uri="http://schemas.openxmlformats.org/drawingml/2006/picture">
                <pic:pic>
                  <pic:nvPicPr>
                    <pic:cNvPr id="0" name="EDM Logo Sep 1, 2026, 12_22_26 AM.png"/>
                    <pic:cNvPicPr/>
                  </pic:nvPicPr>
                  <pic:blipFill>
                    <a:blip r:embed="rId11"/>
                    <a:srcRect l="12000" r="10000" t="32000" b="31000"/>
                    <a:stretch>
                      <a:fillRect/>
                    </a:stretch>
                  </pic:blipFill>
                  <pic:spPr>
                    <a:xfrm>
                      <a:off x="0" y="0"/>
                      <a:ext cx="3474720" cy="1098843"/>
                    </a:xfrm>
                    <a:prstGeom prst="rect"/>
                  </pic:spPr>
                </pic:pic>
              </a:graphicData>
            </a:graphic>
          </wp:inline>
        </w:drawing>
      </w:r>
    </w:p>
    <w:p>
      <w:pPr>
        <w:spacing w:before="1440"/>
      </w:pPr>
      <w:r>
        <w:rPr>
          <w:rFonts w:ascii="Aptos" w:hAnsi="Aptos"/>
          <w:b/>
          <w:color w:val="2E74B5"/>
          <w:sz w:val="22"/>
        </w:rPr>
        <w:t>EDM Overhaulers</w:t>
      </w:r>
    </w:p>
    <w:p>
      <w:pPr>
        <w:spacing w:before="240" w:after="160"/>
      </w:pPr>
      <w:r>
        <w:rPr>
          <w:rFonts w:ascii="Aptos Display" w:hAnsi="Aptos Display"/>
          <w:b/>
          <w:color w:val="17365D"/>
          <w:sz w:val="60"/>
        </w:rPr>
        <w:t>Operations Manual</w:t>
      </w:r>
    </w:p>
    <w:p>
      <w:pPr>
        <w:spacing w:after="600"/>
      </w:pPr>
      <w:r>
        <w:rPr>
          <w:rFonts w:ascii="Aptos Display" w:hAnsi="Aptos Display"/>
          <w:color w:val="5B6773"/>
          <w:sz w:val="28"/>
        </w:rPr>
        <w:t>Reusable internal procedures for controlled, evidence-based business operations</w:t>
      </w:r>
    </w:p>
    <w:tbl>
      <w:tblPr>
        <w:tblW w:type="dxa" w:w="9360"/>
        <w:jc w:val="left"/>
        <w:tblLayout w:type="fixed"/>
        <w:tblLook w:firstColumn="1" w:firstRow="1" w:lastColumn="0" w:lastRow="0" w:noHBand="0" w:noVBand="1" w:val="04A0"/>
        <w:tblInd w:w="120" w:type="dxa"/>
        <w:tblBorders>
          <w:top w:val="single" w:sz="8" w:space="0" w:color="8A6500"/>
          <w:left w:val="single" w:sz="8" w:space="0" w:color="8A6500"/>
          <w:bottom w:val="single" w:sz="8" w:space="0" w:color="8A6500"/>
          <w:right w:val="single" w:sz="8" w:space="0" w:color="8A6500"/>
          <w:insideH w:val="single" w:sz="8" w:space="0" w:color="8A6500"/>
          <w:insideV w:val="single" w:sz="8" w:space="0" w:color="8A6500"/>
        </w:tblBorders>
      </w:tblPr>
      <w:tblGrid>
        <w:gridCol w:w="9360"/>
      </w:tblGrid>
      <w:tr>
        <w:trPr>
          <w:tblHeader w:val="true"/>
        </w:trPr>
        <w:tc>
          <w:tcPr>
            <w:tcW w:type="dxa" w:w="9360"/>
            <w:tcMar>
              <w:top w:w="130" w:type="dxa"/>
              <w:start w:w="180" w:type="dxa"/>
              <w:bottom w:w="130" w:type="dxa"/>
              <w:end w:w="180" w:type="dxa"/>
            </w:tcMar>
            <w:vAlign w:val="center"/>
            <w:shd w:fill="FFF6D8"/>
          </w:tcPr>
          <w:p>
            <w:pPr>
              <w:spacing w:after="0"/>
            </w:pPr>
            <w:r>
              <w:rPr>
                <w:rFonts w:ascii="Aptos" w:hAnsi="Aptos"/>
                <w:b/>
                <w:color w:val="8A6500"/>
                <w:sz w:val="19"/>
              </w:rPr>
              <w:t xml:space="preserve">REVIEW STATUS  Editable adaptation draft · Not adopted or executed. September 15, 2026. Complete the Owner Setup and Tailoring Checklist before issuance. This does not authorize external action, spending, access changes or commitments.</w:t>
            </w:r>
            <w:r>
              <w:rPr>
                <w:rFonts w:ascii="Aptos" w:hAnsi="Aptos"/>
                <w:color w:val="17212B"/>
                <w:sz w:val="19"/>
              </w:rPr>
              <w:t/>
            </w:r>
          </w:p>
        </w:tc>
      </w:tr>
    </w:tbl>
    <w:p>
      <w:pPr>
        <w:spacing w:after="20"/>
      </w:pP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400"/>
        <w:gridCol w:w="6960"/>
      </w:tblGrid>
      <w:tr>
        <w:trPr>
          <w:tblHeader w:val="true"/>
        </w:trPr>
        <w:tc>
          <w:tcPr>
            <w:tcW w:type="dxa" w:w="2400"/>
            <w:tcMar>
              <w:top w:w="100" w:type="dxa"/>
              <w:start w:w="120" w:type="dxa"/>
              <w:bottom w:w="100" w:type="dxa"/>
              <w:end w:w="120" w:type="dxa"/>
            </w:tcMar>
            <w:vAlign w:val="center"/>
            <w:shd w:fill="17365D"/>
          </w:tcPr>
          <w:p>
            <w:pPr>
              <w:spacing w:after="0"/>
              <w:ind w:left="0" w:firstLine="0"/>
            </w:pPr>
            <w:r>
              <w:rPr>
                <w:rFonts w:ascii="Aptos" w:hAnsi="Aptos"/>
                <w:b/>
                <w:color w:val="FFFFFF"/>
                <w:sz w:val="18"/>
              </w:rPr>
              <w:t>Control field</w:t>
            </w:r>
          </w:p>
        </w:tc>
        <w:tc>
          <w:tcPr>
            <w:tcW w:type="dxa" w:w="6960"/>
            <w:tcMar>
              <w:top w:w="100" w:type="dxa"/>
              <w:start w:w="120" w:type="dxa"/>
              <w:bottom w:w="100" w:type="dxa"/>
              <w:end w:w="120" w:type="dxa"/>
            </w:tcMar>
            <w:vAlign w:val="center"/>
            <w:shd w:fill="17365D"/>
          </w:tcPr>
          <w:p>
            <w:pPr>
              <w:spacing w:after="0"/>
              <w:ind w:left="0" w:firstLine="0"/>
            </w:pPr>
            <w:r>
              <w:rPr>
                <w:rFonts w:ascii="Aptos" w:hAnsi="Aptos"/>
                <w:b/>
                <w:color w:val="FFFFFF"/>
                <w:sz w:val="18"/>
              </w:rPr>
              <w:t>Current direction</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Document owner</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EDM Overhaulers / Owner or authorized decision maker</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Operational owner</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Assigned by workstream; every item has one accountable human owner</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Controlling source basis</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Adapted from the retained CSG operations master. Appendix C identifies included companion resources. Company approval remains pending.</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Applies to</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Proposed internal operations; customer and other-entity work only within separately approved scope</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Excluded</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Employee handbook, onboarding packet, compensation schedule, legal or tax conclusions, payroll setup, licensing determinations, insurance terms, and regulatory promises</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Review cycle</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At least annually and whenever authority, services, systems, risk, or professional requirements materially change</w:t>
            </w:r>
          </w:p>
        </w:tc>
      </w:tr>
    </w:tbl>
    <w:p>
      <w:pPr>
        <w:spacing w:after="0" w:line="20" w:lineRule="exact"/>
      </w:pPr>
      <w:r>
        <w:rPr>
          <w:rFonts w:ascii="Aptos" w:hAnsi="Aptos"/>
          <w:color w:val="FFFFFF"/>
          <w:sz w:val="2"/>
        </w:rPr>
        <w:t xml:space="preserve"> </w:t>
      </w:r>
    </w:p>
    <w:p>
      <w:pPr>
        <w:spacing w:before="440"/>
      </w:pPr>
      <w:r>
        <w:rPr>
          <w:rFonts w:ascii="Aptos" w:hAnsi="Aptos"/>
          <w:b/>
          <w:color w:val="9B1C1C"/>
          <w:sz w:val="19"/>
        </w:rPr>
        <w:t>OWNER / PROFESSIONAL REVIEW REQUIRED BEFORE ISSUANCE</w:t>
      </w:r>
    </w:p>
    <w:p>
      <w:r>
        <w:t xml:space="preserve">Not adopted or executed. Complete the Owner Setup and Tailoring Checklist before issue. The business name is not verification of the legal employer. No benefits, insurance, employment or policy adoption is established by this draft.</w:t>
      </w:r>
    </w:p>
    <w:p>
      <w:r>
        <w:br w:type="page"/>
      </w:r>
    </w:p>
    <w:p>
      <w:pPr>
        <w:pStyle w:val="Heading1"/>
        <w:pageBreakBefore/>
      </w:pPr>
      <w:r>
        <w:t>Navigation and Operating Index</w:t>
      </w:r>
    </w:p>
    <w:p>
      <w:pPr/>
      <w:r>
        <w:rPr>
          <w:rFonts w:ascii="Aptos" w:hAnsi="Aptos"/>
          <w:color w:val="17212B"/>
          <w:sz w:val="21"/>
        </w:rPr>
        <w:t>This page routes the reader to the smallest useful procedure. Start with the job in the left column; use the named section and return the required output to the controlling work record.</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850"/>
        <w:gridCol w:w="1450"/>
        <w:gridCol w:w="5060"/>
      </w:tblGrid>
      <w:tr>
        <w:trPr>
          <w:tblHeader w:val="true"/>
        </w:trPr>
        <w:tc>
          <w:tcPr>
            <w:tcW w:type="dxa" w:w="2850"/>
            <w:tcMar>
              <w:top w:w="100" w:type="dxa"/>
              <w:start w:w="120" w:type="dxa"/>
              <w:bottom w:w="100" w:type="dxa"/>
              <w:end w:w="120" w:type="dxa"/>
            </w:tcMar>
            <w:vAlign w:val="center"/>
            <w:shd w:fill="17365D"/>
          </w:tcPr>
          <w:p>
            <w:pPr>
              <w:spacing w:after="0"/>
              <w:ind w:left="0" w:firstLine="0"/>
            </w:pPr>
            <w:r>
              <w:rPr>
                <w:rFonts w:ascii="Aptos" w:hAnsi="Aptos"/>
                <w:b/>
                <w:color w:val="FFFFFF"/>
                <w:sz w:val="16"/>
              </w:rPr>
              <w:t>Operational job</w:t>
            </w:r>
          </w:p>
        </w:tc>
        <w:tc>
          <w:tcPr>
            <w:tcW w:type="dxa" w:w="1450"/>
            <w:tcMar>
              <w:top w:w="100" w:type="dxa"/>
              <w:start w:w="120" w:type="dxa"/>
              <w:bottom w:w="100" w:type="dxa"/>
              <w:end w:w="120" w:type="dxa"/>
            </w:tcMar>
            <w:vAlign w:val="center"/>
            <w:shd w:fill="17365D"/>
          </w:tcPr>
          <w:p>
            <w:pPr>
              <w:spacing w:after="0"/>
              <w:ind w:left="0" w:firstLine="0"/>
            </w:pPr>
            <w:r>
              <w:rPr>
                <w:rFonts w:ascii="Aptos" w:hAnsi="Aptos"/>
                <w:b/>
                <w:color w:val="FFFFFF"/>
                <w:sz w:val="16"/>
              </w:rPr>
              <w:t>Use</w:t>
            </w:r>
          </w:p>
        </w:tc>
        <w:tc>
          <w:tcPr>
            <w:tcW w:type="dxa" w:w="5060"/>
            <w:tcMar>
              <w:top w:w="100" w:type="dxa"/>
              <w:start w:w="120" w:type="dxa"/>
              <w:bottom w:w="100" w:type="dxa"/>
              <w:end w:w="120" w:type="dxa"/>
            </w:tcMar>
            <w:vAlign w:val="center"/>
            <w:shd w:fill="17365D"/>
          </w:tcPr>
          <w:p>
            <w:pPr>
              <w:spacing w:after="0"/>
              <w:ind w:left="0" w:firstLine="0"/>
            </w:pPr>
            <w:r>
              <w:rPr>
                <w:rFonts w:ascii="Aptos" w:hAnsi="Aptos"/>
                <w:b/>
                <w:color w:val="FFFFFF"/>
                <w:sz w:val="16"/>
              </w:rPr>
              <w:t>Required output</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Start or diagnose work</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Quick Start; §§1, 4</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Work brief with outcome, entity, owner, source, completion test, decision window, and next action</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Determine who may decide</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§2</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Named approver and an approval packet sized to the action</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Protect entity or client separation</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§3</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Entity/conflict screen and separated records, funds, accounts, and commitments</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Prepare and review a deliverable</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§5; §14</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One review candidate, actual-use QA, and documented discrepancy status</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Run the week or hand off work</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§6</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Control-board status, daily close, proof return, and next action</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Find, create, or retire a record</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§7; §8</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Controlling source, correct classification, access state, lineage, and proof location</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Prepare a purchase or payment</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§9</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Exact owner-ready approval packet; no release of funds before approval</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Contact, serve, send, or publish</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§10</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Exact final content, sender/entity, recipients/destination, attachments, and approval</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Create or change system access</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§11</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Current-state inventory, approved target state, recovery/rollback, and provider readback</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Issue, support, or recover equipment</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§12</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Restricted asset record and verified custody stage</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Handle an incident or exception</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§13</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Safety/containment, preserved evidence, owner decision, corrective action, and closure proof</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6"/>
              </w:rPr>
              <w:t>Change a recurring procedure</w:t>
            </w:r>
          </w:p>
        </w:tc>
        <w:tc>
          <w:tcPr>
            <w:tcW w:type="dxa" w:w="1450"/>
            <w:tcMar>
              <w:top w:w="100" w:type="dxa"/>
              <w:start w:w="120" w:type="dxa"/>
              <w:bottom w:w="100" w:type="dxa"/>
              <w:end w:w="120" w:type="dxa"/>
            </w:tcMar>
            <w:vAlign w:val="center"/>
          </w:tcPr>
          <w:p>
            <w:pPr>
              <w:spacing w:after="0"/>
              <w:ind w:left="0" w:firstLine="0"/>
            </w:pPr>
            <w:r>
              <w:rPr>
                <w:rFonts w:ascii="Aptos" w:hAnsi="Aptos"/>
                <w:b w:val="0"/>
                <w:color w:val="17212B"/>
                <w:sz w:val="16"/>
              </w:rPr>
              <w:t>§15; Appendix B</w:t>
            </w:r>
          </w:p>
        </w:tc>
        <w:tc>
          <w:tcPr>
            <w:tcW w:type="dxa" w:w="5060"/>
            <w:tcMar>
              <w:top w:w="100" w:type="dxa"/>
              <w:start w:w="120" w:type="dxa"/>
              <w:bottom w:w="100" w:type="dxa"/>
              <w:end w:w="120" w:type="dxa"/>
            </w:tcMar>
            <w:vAlign w:val="center"/>
          </w:tcPr>
          <w:p>
            <w:pPr>
              <w:spacing w:after="0"/>
              <w:ind w:left="0" w:firstLine="0"/>
            </w:pPr>
            <w:r>
              <w:rPr>
                <w:rFonts w:ascii="Aptos" w:hAnsi="Aptos"/>
                <w:b w:val="0"/>
                <w:color w:val="17212B"/>
                <w:sz w:val="16"/>
              </w:rPr>
              <w:t>One tested review candidate, downstream impact review, owner/professional approval, and release record</w:t>
            </w:r>
          </w:p>
        </w:tc>
      </w:tr>
    </w:tbl>
    <w:p>
      <w:pPr>
        <w:spacing w:after="0" w:line="20" w:lineRule="exact"/>
      </w:pPr>
      <w:r>
        <w:rPr>
          <w:rFonts w:ascii="Aptos" w:hAnsi="Aptos"/>
          <w:color w:val="FFFFFF"/>
          <w:sz w:val="2"/>
        </w:rPr>
        <w:t xml:space="preserve"> </w:t>
      </w:r>
    </w:p>
    <w:tbl>
      <w:tblPr>
        <w:tblW w:type="dxa" w:w="9360"/>
        <w:jc w:val="left"/>
        <w:tblLayout w:type="fixed"/>
        <w:tblLook w:firstColumn="1" w:firstRow="1" w:lastColumn="0" w:lastRow="0" w:noHBand="0" w:noVBand="1" w:val="04A0"/>
        <w:tblInd w:w="120" w:type="dxa"/>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Pr>
      <w:tblGrid>
        <w:gridCol w:w="9360"/>
      </w:tblGrid>
      <w:tr>
        <w:trPr>
          <w:tblHeader w:val="true"/>
        </w:trPr>
        <w:tc>
          <w:tcPr>
            <w:tcW w:type="dxa" w:w="9360"/>
            <w:tcMar>
              <w:top w:w="130" w:type="dxa"/>
              <w:start w:w="180" w:type="dxa"/>
              <w:bottom w:w="130" w:type="dxa"/>
              <w:end w:w="180" w:type="dxa"/>
            </w:tcMar>
            <w:vAlign w:val="center"/>
            <w:shd w:fill="E8EEF5"/>
          </w:tcPr>
          <w:p>
            <w:pPr>
              <w:spacing w:after="0"/>
            </w:pPr>
            <w:r>
              <w:rPr>
                <w:rFonts w:ascii="Aptos" w:hAnsi="Aptos"/>
                <w:b/>
                <w:color w:val="17365D"/>
                <w:sz w:val="19"/>
              </w:rPr>
              <w:t xml:space="preserve">FAST RULE  </w:t>
            </w:r>
            <w:r>
              <w:rPr>
                <w:rFonts w:ascii="Aptos" w:hAnsi="Aptos"/>
                <w:color w:val="17212B"/>
                <w:sz w:val="19"/>
              </w:rPr>
              <w:t>If the reader cannot identify the outcome, entity, owner, controlling source, and completion test in under two minutes, the item is not ready to enter active work.</w:t>
            </w:r>
          </w:p>
        </w:tc>
      </w:tr>
    </w:tbl>
    <w:p>
      <w:pPr>
        <w:spacing w:after="20"/>
      </w:pPr>
    </w:p>
    <w:p>
      <w:pPr>
        <w:pStyle w:val="Heading1"/>
        <w:pageBreakBefore/>
      </w:pPr>
      <w:r>
        <w:t>Quick Start</w:t>
      </w:r>
    </w:p>
    <w:p>
      <w:pPr/>
      <w:r>
        <w:rPr>
          <w:rFonts w:ascii="Aptos" w:hAnsi="Aptos"/>
          <w:color w:val="17212B"/>
          <w:sz w:val="21"/>
        </w:rPr>
        <w:t>Use this manual to organize internal work, preserve entity separation, and move a task from request to verified completion. It governs the procedure for doing work; it does not replace an executed agreement, employee-facing policy, specialist advice, or the owner’s approval for consequential action.</w:t>
      </w:r>
    </w:p>
    <w:tbl>
      <w:tblPr>
        <w:tblW w:type="dxa" w:w="9360"/>
        <w:jc w:val="left"/>
        <w:tblLayout w:type="fixed"/>
        <w:tblLook w:firstColumn="1" w:firstRow="1" w:lastColumn="0" w:lastRow="0" w:noHBand="0" w:noVBand="1" w:val="04A0"/>
        <w:tblInd w:w="120" w:type="dxa"/>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Pr>
      <w:tblGrid>
        <w:gridCol w:w="9360"/>
      </w:tblGrid>
      <w:tr>
        <w:trPr>
          <w:tblHeader w:val="true"/>
        </w:trPr>
        <w:tc>
          <w:tcPr>
            <w:tcW w:type="dxa" w:w="9360"/>
            <w:tcMar>
              <w:top w:w="130" w:type="dxa"/>
              <w:start w:w="180" w:type="dxa"/>
              <w:bottom w:w="130" w:type="dxa"/>
              <w:end w:w="180" w:type="dxa"/>
            </w:tcMar>
            <w:vAlign w:val="center"/>
            <w:shd w:fill="E8EEF5"/>
          </w:tcPr>
          <w:p>
            <w:pPr>
              <w:spacing w:after="0"/>
            </w:pPr>
            <w:r>
              <w:rPr>
                <w:rFonts w:ascii="Aptos" w:hAnsi="Aptos"/>
                <w:b/>
                <w:color w:val="17365D"/>
                <w:sz w:val="19"/>
              </w:rPr>
              <w:t xml:space="preserve">THE OPERATING RULE  </w:t>
            </w:r>
            <w:r>
              <w:rPr>
                <w:rFonts w:ascii="Aptos" w:hAnsi="Aptos"/>
                <w:color w:val="17212B"/>
                <w:sz w:val="19"/>
              </w:rPr>
              <w:t>One outcome. One accountable owner. One controlling source. One completion test. Prior versions remain history and do not compete with the current source.</w:t>
            </w:r>
          </w:p>
        </w:tc>
      </w:tr>
    </w:tbl>
    <w:p>
      <w:pPr>
        <w:spacing w:after="20"/>
      </w:pPr>
    </w:p>
    <w:p>
      <w:pPr>
        <w:pStyle w:val="Heading2"/>
      </w:pPr>
      <w:r>
        <w:t>Eight-step operating path</w:t>
      </w:r>
    </w:p>
    <w:p>
      <w:pPr>
        <w:spacing w:after="40" w:line="240" w:lineRule="auto"/>
        <w:numPr>
          <w:ilvl w:val="0"/>
          <w:numId w:val="10"/>
        </w:numPr>
      </w:pPr>
      <w:r>
        <w:rPr>
          <w:rFonts w:ascii="Aptos" w:hAnsi="Aptos"/>
          <w:color w:val="17212B"/>
          <w:sz w:val="20"/>
        </w:rPr>
        <w:t>Capture the request and define the concrete outcome.</w:t>
      </w:r>
    </w:p>
    <w:p>
      <w:pPr>
        <w:spacing w:after="40" w:line="240" w:lineRule="auto"/>
        <w:numPr>
          <w:ilvl w:val="0"/>
          <w:numId w:val="10"/>
        </w:numPr>
      </w:pPr>
      <w:r>
        <w:rPr>
          <w:rFonts w:ascii="Aptos" w:hAnsi="Aptos"/>
          <w:color w:val="17212B"/>
          <w:sz w:val="20"/>
        </w:rPr>
        <w:t>Identify the accountable entity, human owner, decision-maker, and affected records.</w:t>
      </w:r>
    </w:p>
    <w:p>
      <w:pPr>
        <w:spacing w:after="40" w:line="240" w:lineRule="auto"/>
        <w:numPr>
          <w:ilvl w:val="0"/>
          <w:numId w:val="10"/>
        </w:numPr>
      </w:pPr>
      <w:r>
        <w:rPr>
          <w:rFonts w:ascii="Aptos" w:hAnsi="Aptos"/>
          <w:color w:val="17212B"/>
          <w:sz w:val="20"/>
        </w:rPr>
        <w:t>Locate the controlling source and classify its status and access state.</w:t>
      </w:r>
    </w:p>
    <w:p>
      <w:pPr>
        <w:spacing w:after="40" w:line="240" w:lineRule="auto"/>
        <w:numPr>
          <w:ilvl w:val="0"/>
          <w:numId w:val="10"/>
        </w:numPr>
      </w:pPr>
      <w:r>
        <w:rPr>
          <w:rFonts w:ascii="Aptos" w:hAnsi="Aptos"/>
          <w:color w:val="17212B"/>
          <w:sz w:val="20"/>
        </w:rPr>
        <w:t>Screen dependencies, conflicts, risk, and any owner or professional-review gate.</w:t>
      </w:r>
    </w:p>
    <w:p>
      <w:pPr>
        <w:spacing w:after="40" w:line="240" w:lineRule="auto"/>
        <w:numPr>
          <w:ilvl w:val="0"/>
          <w:numId w:val="10"/>
        </w:numPr>
      </w:pPr>
      <w:r>
        <w:rPr>
          <w:rFonts w:ascii="Aptos" w:hAnsi="Aptos"/>
          <w:color w:val="17212B"/>
          <w:sz w:val="20"/>
        </w:rPr>
        <w:t>Complete safe, reversible preparation using the smallest reliable process.</w:t>
      </w:r>
    </w:p>
    <w:p>
      <w:pPr>
        <w:spacing w:after="40" w:line="240" w:lineRule="auto"/>
        <w:numPr>
          <w:ilvl w:val="0"/>
          <w:numId w:val="10"/>
        </w:numPr>
      </w:pPr>
      <w:r>
        <w:rPr>
          <w:rFonts w:ascii="Aptos" w:hAnsi="Aptos"/>
          <w:color w:val="17212B"/>
          <w:sz w:val="20"/>
        </w:rPr>
        <w:t>Review the candidate in the form in which it will actually be used.</w:t>
      </w:r>
    </w:p>
    <w:p>
      <w:pPr>
        <w:spacing w:after="40" w:line="240" w:lineRule="auto"/>
        <w:numPr>
          <w:ilvl w:val="0"/>
          <w:numId w:val="10"/>
        </w:numPr>
      </w:pPr>
      <w:r>
        <w:rPr>
          <w:rFonts w:ascii="Aptos" w:hAnsi="Aptos"/>
          <w:color w:val="17212B"/>
          <w:sz w:val="20"/>
        </w:rPr>
        <w:t>Obtain approval immediately before any consequential action.</w:t>
      </w:r>
    </w:p>
    <w:p>
      <w:pPr>
        <w:spacing w:after="40" w:line="240" w:lineRule="auto"/>
        <w:numPr>
          <w:ilvl w:val="0"/>
          <w:numId w:val="10"/>
        </w:numPr>
      </w:pPr>
      <w:r>
        <w:rPr>
          <w:rFonts w:ascii="Aptos" w:hAnsi="Aptos"/>
          <w:color w:val="17212B"/>
          <w:sz w:val="20"/>
        </w:rPr>
        <w:t>Verify the result against objective evidence and update the controlling record.</w:t>
      </w:r>
    </w:p>
    <w:p>
      <w:pPr>
        <w:pStyle w:val="Heading2"/>
      </w:pPr>
      <w:r>
        <w:t>Stop points</w:t>
      </w:r>
    </w:p>
    <w:p>
      <w:pPr/>
      <w:r>
        <w:rPr>
          <w:rFonts w:ascii="Aptos" w:hAnsi="Aptos"/>
          <w:color w:val="17212B"/>
          <w:sz w:val="21"/>
        </w:rPr>
        <w:t>Pause immediately before any action that would spend money, create or cancel a subscription, send or publish a communication, file or submit, sign or accept a commitment, permanently delete material records, change credentials or access, change providers or ownership, or activate payments, reservations, forms, analytics, or personal-data collection.</w:t>
      </w:r>
    </w:p>
    <w:tbl>
      <w:tblPr>
        <w:tblW w:type="dxa" w:w="9360"/>
        <w:jc w:val="left"/>
        <w:tblLayout w:type="fixed"/>
        <w:tblLook w:firstColumn="1" w:firstRow="1" w:lastColumn="0" w:lastRow="0" w:noHBand="0" w:noVBand="1" w:val="04A0"/>
        <w:tblInd w:w="120" w:type="dxa"/>
        <w:tblBorders>
          <w:top w:val="single" w:sz="8" w:space="0" w:color="245B3A"/>
          <w:left w:val="single" w:sz="8" w:space="0" w:color="245B3A"/>
          <w:bottom w:val="single" w:sz="8" w:space="0" w:color="245B3A"/>
          <w:right w:val="single" w:sz="8" w:space="0" w:color="245B3A"/>
          <w:insideH w:val="single" w:sz="8" w:space="0" w:color="245B3A"/>
          <w:insideV w:val="single" w:sz="8" w:space="0" w:color="245B3A"/>
        </w:tblBorders>
      </w:tblPr>
      <w:tblGrid>
        <w:gridCol w:w="9360"/>
      </w:tblGrid>
      <w:tr>
        <w:trPr>
          <w:tblHeader w:val="true"/>
        </w:trPr>
        <w:tc>
          <w:tcPr>
            <w:tcW w:type="dxa" w:w="9360"/>
            <w:tcMar>
              <w:top w:w="130" w:type="dxa"/>
              <w:start w:w="180" w:type="dxa"/>
              <w:bottom w:w="130" w:type="dxa"/>
              <w:end w:w="180" w:type="dxa"/>
            </w:tcMar>
            <w:vAlign w:val="center"/>
            <w:shd w:fill="EAF4EC"/>
          </w:tcPr>
          <w:p>
            <w:pPr>
              <w:spacing w:after="0"/>
            </w:pPr>
            <w:r>
              <w:rPr>
                <w:rFonts w:ascii="Aptos" w:hAnsi="Aptos"/>
                <w:b/>
                <w:color w:val="245B3A"/>
                <w:sz w:val="19"/>
              </w:rPr>
              <w:t xml:space="preserve">PREPARATION IS ALLOWED  </w:t>
            </w:r>
            <w:r>
              <w:rPr>
                <w:rFonts w:ascii="Aptos" w:hAnsi="Aptos"/>
                <w:color w:val="17212B"/>
                <w:sz w:val="19"/>
              </w:rPr>
              <w:t>Drafting, organizing, research, local testing, and review are allowed within scope. A prepared draft, saved file, completed test, or quoted price is not approval to execute.</w:t>
            </w:r>
          </w:p>
        </w:tc>
      </w:tr>
    </w:tbl>
    <w:p>
      <w:pPr>
        <w:spacing w:after="20"/>
      </w:pPr>
    </w:p>
    <w:p>
      <w:pPr>
        <w:pStyle w:val="Heading2"/>
      </w:pPr>
      <w:r>
        <w:t>Truth-state vocabulary</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1800"/>
        <w:gridCol w:w="7560"/>
      </w:tblGrid>
      <w:tr>
        <w:trPr>
          <w:tblHeader w:val="true"/>
        </w:trPr>
        <w:tc>
          <w:tcPr>
            <w:tcW w:type="dxa" w:w="1800"/>
            <w:tcMar>
              <w:top w:w="40" w:type="dxa"/>
              <w:start w:w="120" w:type="dxa"/>
              <w:bottom w:w="40" w:type="dxa"/>
              <w:end w:w="120" w:type="dxa"/>
            </w:tcMar>
            <w:vAlign w:val="center"/>
            <w:shd w:fill="17365D"/>
          </w:tcPr>
          <w:p>
            <w:pPr>
              <w:spacing w:after="0"/>
              <w:ind w:left="0" w:firstLine="0"/>
            </w:pPr>
            <w:r>
              <w:rPr>
                <w:rFonts w:ascii="Aptos" w:hAnsi="Aptos"/>
                <w:b/>
                <w:color w:val="FFFFFF"/>
                <w:sz w:val="16"/>
              </w:rPr>
              <w:t>Status</w:t>
            </w:r>
          </w:p>
        </w:tc>
        <w:tc>
          <w:tcPr>
            <w:tcW w:type="dxa" w:w="7560"/>
            <w:tcMar>
              <w:top w:w="40" w:type="dxa"/>
              <w:start w:w="120" w:type="dxa"/>
              <w:bottom w:w="40" w:type="dxa"/>
              <w:end w:w="120" w:type="dxa"/>
            </w:tcMar>
            <w:vAlign w:val="center"/>
            <w:shd w:fill="17365D"/>
          </w:tcPr>
          <w:p>
            <w:pPr>
              <w:spacing w:after="0"/>
              <w:ind w:left="0" w:firstLine="0"/>
            </w:pPr>
            <w:r>
              <w:rPr>
                <w:rFonts w:ascii="Aptos" w:hAnsi="Aptos"/>
                <w:b/>
                <w:color w:val="FFFFFF"/>
                <w:sz w:val="16"/>
              </w:rPr>
              <w:t>Meaning</w:t>
            </w:r>
          </w:p>
        </w:tc>
      </w:tr>
      <w:tr>
        <w:tc>
          <w:tcPr>
            <w:tcW w:type="dxa" w:w="1800"/>
            <w:tcMar>
              <w:top w:w="40" w:type="dxa"/>
              <w:start w:w="120" w:type="dxa"/>
              <w:bottom w:w="40" w:type="dxa"/>
              <w:end w:w="120" w:type="dxa"/>
            </w:tcMar>
            <w:vAlign w:val="center"/>
          </w:tcPr>
          <w:p>
            <w:pPr>
              <w:spacing w:after="0"/>
              <w:ind w:left="0" w:firstLine="0"/>
            </w:pPr>
            <w:r>
              <w:rPr>
                <w:rFonts w:ascii="Aptos" w:hAnsi="Aptos"/>
                <w:b w:val="0"/>
                <w:color w:val="17212B"/>
                <w:sz w:val="16"/>
              </w:rPr>
              <w:t>Discovered</w:t>
            </w:r>
          </w:p>
        </w:tc>
        <w:tc>
          <w:tcPr>
            <w:tcW w:type="dxa" w:w="7560"/>
            <w:tcMar>
              <w:top w:w="40" w:type="dxa"/>
              <w:start w:w="120" w:type="dxa"/>
              <w:bottom w:w="40" w:type="dxa"/>
              <w:end w:w="120" w:type="dxa"/>
            </w:tcMar>
            <w:vAlign w:val="center"/>
          </w:tcPr>
          <w:p>
            <w:pPr>
              <w:spacing w:after="0"/>
              <w:ind w:left="0" w:firstLine="0"/>
            </w:pPr>
            <w:r>
              <w:rPr>
                <w:rFonts w:ascii="Aptos" w:hAnsi="Aptos"/>
                <w:b w:val="0"/>
                <w:color w:val="17212B"/>
                <w:sz w:val="16"/>
              </w:rPr>
              <w:t>Located or reported, but not yet checked for identity, completeness, currency, or authority.</w:t>
            </w:r>
          </w:p>
        </w:tc>
      </w:tr>
      <w:tr>
        <w:tc>
          <w:tcPr>
            <w:tcW w:type="dxa" w:w="1800"/>
            <w:tcMar>
              <w:top w:w="40" w:type="dxa"/>
              <w:start w:w="120" w:type="dxa"/>
              <w:bottom w:w="40" w:type="dxa"/>
              <w:end w:w="120" w:type="dxa"/>
            </w:tcMar>
            <w:vAlign w:val="center"/>
          </w:tcPr>
          <w:p>
            <w:pPr>
              <w:spacing w:after="0"/>
              <w:ind w:left="0" w:firstLine="0"/>
            </w:pPr>
            <w:r>
              <w:rPr>
                <w:rFonts w:ascii="Aptos" w:hAnsi="Aptos"/>
                <w:b w:val="0"/>
                <w:color w:val="17212B"/>
                <w:sz w:val="16"/>
              </w:rPr>
              <w:t>Verified</w:t>
            </w:r>
          </w:p>
        </w:tc>
        <w:tc>
          <w:tcPr>
            <w:tcW w:type="dxa" w:w="7560"/>
            <w:tcMar>
              <w:top w:w="40" w:type="dxa"/>
              <w:start w:w="120" w:type="dxa"/>
              <w:bottom w:w="40" w:type="dxa"/>
              <w:end w:w="120" w:type="dxa"/>
            </w:tcMar>
            <w:vAlign w:val="center"/>
          </w:tcPr>
          <w:p>
            <w:pPr>
              <w:spacing w:after="0"/>
              <w:ind w:left="0" w:firstLine="0"/>
            </w:pPr>
            <w:r>
              <w:rPr>
                <w:rFonts w:ascii="Aptos" w:hAnsi="Aptos"/>
                <w:b w:val="0"/>
                <w:color w:val="17212B"/>
                <w:sz w:val="16"/>
              </w:rPr>
              <w:t>Matched to the controlling source or objective evidence as of a stated date.</w:t>
            </w:r>
          </w:p>
        </w:tc>
      </w:tr>
      <w:tr>
        <w:tc>
          <w:tcPr>
            <w:tcW w:type="dxa" w:w="1800"/>
            <w:tcMar>
              <w:top w:w="40" w:type="dxa"/>
              <w:start w:w="120" w:type="dxa"/>
              <w:bottom w:w="40" w:type="dxa"/>
              <w:end w:w="120" w:type="dxa"/>
            </w:tcMar>
            <w:vAlign w:val="center"/>
          </w:tcPr>
          <w:p>
            <w:pPr>
              <w:spacing w:after="0"/>
              <w:ind w:left="0" w:firstLine="0"/>
            </w:pPr>
            <w:r>
              <w:rPr>
                <w:rFonts w:ascii="Aptos" w:hAnsi="Aptos"/>
                <w:b w:val="0"/>
                <w:color w:val="17212B"/>
                <w:sz w:val="16"/>
              </w:rPr>
              <w:t>Prepared</w:t>
            </w:r>
          </w:p>
        </w:tc>
        <w:tc>
          <w:tcPr>
            <w:tcW w:type="dxa" w:w="7560"/>
            <w:tcMar>
              <w:top w:w="40" w:type="dxa"/>
              <w:start w:w="120" w:type="dxa"/>
              <w:bottom w:w="40" w:type="dxa"/>
              <w:end w:w="120" w:type="dxa"/>
            </w:tcMar>
            <w:vAlign w:val="center"/>
          </w:tcPr>
          <w:p>
            <w:pPr>
              <w:spacing w:after="0"/>
              <w:ind w:left="0" w:firstLine="0"/>
            </w:pPr>
            <w:r>
              <w:rPr>
                <w:rFonts w:ascii="Aptos" w:hAnsi="Aptos"/>
                <w:b w:val="0"/>
                <w:color w:val="17212B"/>
                <w:sz w:val="16"/>
              </w:rPr>
              <w:t>A draft, package, configuration, or test exists locally; no external effect is implied.</w:t>
            </w:r>
          </w:p>
        </w:tc>
      </w:tr>
      <w:tr>
        <w:tc>
          <w:tcPr>
            <w:tcW w:type="dxa" w:w="1800"/>
            <w:tcMar>
              <w:top w:w="40" w:type="dxa"/>
              <w:start w:w="120" w:type="dxa"/>
              <w:bottom w:w="40" w:type="dxa"/>
              <w:end w:w="120" w:type="dxa"/>
            </w:tcMar>
            <w:vAlign w:val="center"/>
          </w:tcPr>
          <w:p>
            <w:pPr>
              <w:spacing w:after="0"/>
              <w:ind w:left="0" w:firstLine="0"/>
            </w:pPr>
            <w:r>
              <w:rPr>
                <w:rFonts w:ascii="Aptos" w:hAnsi="Aptos"/>
                <w:b w:val="0"/>
                <w:color w:val="17212B"/>
                <w:sz w:val="16"/>
              </w:rPr>
              <w:t>Approved</w:t>
            </w:r>
          </w:p>
        </w:tc>
        <w:tc>
          <w:tcPr>
            <w:tcW w:type="dxa" w:w="7560"/>
            <w:tcMar>
              <w:top w:w="40" w:type="dxa"/>
              <w:start w:w="120" w:type="dxa"/>
              <w:bottom w:w="40" w:type="dxa"/>
              <w:end w:w="120" w:type="dxa"/>
            </w:tcMar>
            <w:vAlign w:val="center"/>
          </w:tcPr>
          <w:p>
            <w:pPr>
              <w:spacing w:after="0"/>
              <w:ind w:left="0" w:firstLine="0"/>
            </w:pPr>
            <w:r>
              <w:rPr>
                <w:rFonts w:ascii="Aptos" w:hAnsi="Aptos"/>
                <w:b w:val="0"/>
                <w:color w:val="17212B"/>
                <w:sz w:val="16"/>
              </w:rPr>
              <w:t>The authorized human approved the exact content, destination, cost, or action.</w:t>
            </w:r>
          </w:p>
        </w:tc>
      </w:tr>
      <w:tr>
        <w:tc>
          <w:tcPr>
            <w:tcW w:type="dxa" w:w="1800"/>
            <w:tcMar>
              <w:top w:w="40" w:type="dxa"/>
              <w:start w:w="120" w:type="dxa"/>
              <w:bottom w:w="40" w:type="dxa"/>
              <w:end w:w="120" w:type="dxa"/>
            </w:tcMar>
            <w:vAlign w:val="center"/>
          </w:tcPr>
          <w:p>
            <w:pPr>
              <w:spacing w:after="0"/>
              <w:ind w:left="0" w:firstLine="0"/>
            </w:pPr>
            <w:r>
              <w:rPr>
                <w:rFonts w:ascii="Aptos" w:hAnsi="Aptos"/>
                <w:b w:val="0"/>
                <w:color w:val="17212B"/>
                <w:sz w:val="16"/>
              </w:rPr>
              <w:t>Executed</w:t>
            </w:r>
          </w:p>
        </w:tc>
        <w:tc>
          <w:tcPr>
            <w:tcW w:type="dxa" w:w="7560"/>
            <w:tcMar>
              <w:top w:w="40" w:type="dxa"/>
              <w:start w:w="120" w:type="dxa"/>
              <w:bottom w:w="40" w:type="dxa"/>
              <w:end w:w="120" w:type="dxa"/>
            </w:tcMar>
            <w:vAlign w:val="center"/>
          </w:tcPr>
          <w:p>
            <w:pPr>
              <w:spacing w:after="0"/>
              <w:ind w:left="0" w:firstLine="0"/>
            </w:pPr>
            <w:r>
              <w:rPr>
                <w:rFonts w:ascii="Aptos" w:hAnsi="Aptos"/>
                <w:b w:val="0"/>
                <w:color w:val="17212B"/>
                <w:sz w:val="16"/>
              </w:rPr>
              <w:t>The action occurred and proof of the result was retained.</w:t>
            </w:r>
          </w:p>
        </w:tc>
      </w:tr>
      <w:tr>
        <w:tc>
          <w:tcPr>
            <w:tcW w:type="dxa" w:w="1800"/>
            <w:tcMar>
              <w:top w:w="40" w:type="dxa"/>
              <w:start w:w="120" w:type="dxa"/>
              <w:bottom w:w="40" w:type="dxa"/>
              <w:end w:w="120" w:type="dxa"/>
            </w:tcMar>
            <w:vAlign w:val="center"/>
          </w:tcPr>
          <w:p>
            <w:pPr>
              <w:spacing w:after="0"/>
              <w:ind w:left="0" w:firstLine="0"/>
            </w:pPr>
            <w:r>
              <w:rPr>
                <w:rFonts w:ascii="Aptos" w:hAnsi="Aptos"/>
                <w:b w:val="0"/>
                <w:color w:val="17212B"/>
                <w:sz w:val="16"/>
              </w:rPr>
              <w:t>Published / live</w:t>
            </w:r>
          </w:p>
        </w:tc>
        <w:tc>
          <w:tcPr>
            <w:tcW w:type="dxa" w:w="7560"/>
            <w:tcMar>
              <w:top w:w="40" w:type="dxa"/>
              <w:start w:w="120" w:type="dxa"/>
              <w:bottom w:w="40" w:type="dxa"/>
              <w:end w:w="120" w:type="dxa"/>
            </w:tcMar>
            <w:vAlign w:val="center"/>
          </w:tcPr>
          <w:p>
            <w:pPr>
              <w:spacing w:after="0"/>
              <w:ind w:left="0" w:firstLine="0"/>
            </w:pPr>
            <w:r>
              <w:rPr>
                <w:rFonts w:ascii="Aptos" w:hAnsi="Aptos"/>
                <w:b w:val="0"/>
                <w:color w:val="17212B"/>
                <w:sz w:val="16"/>
              </w:rPr>
              <w:t>A current public or production readback confirms availability on the intended surface.</w:t>
            </w:r>
          </w:p>
        </w:tc>
      </w:tr>
      <w:tr>
        <w:tc>
          <w:tcPr>
            <w:tcW w:type="dxa" w:w="1800"/>
            <w:tcMar>
              <w:top w:w="40" w:type="dxa"/>
              <w:start w:w="120" w:type="dxa"/>
              <w:bottom w:w="40" w:type="dxa"/>
              <w:end w:w="120" w:type="dxa"/>
            </w:tcMar>
            <w:vAlign w:val="center"/>
          </w:tcPr>
          <w:p>
            <w:pPr>
              <w:spacing w:after="0"/>
              <w:ind w:left="0" w:firstLine="0"/>
            </w:pPr>
            <w:r>
              <w:rPr>
                <w:rFonts w:ascii="Aptos" w:hAnsi="Aptos"/>
                <w:b w:val="0"/>
                <w:color w:val="17212B"/>
                <w:sz w:val="16"/>
              </w:rPr>
              <w:t>Blocked</w:t>
            </w:r>
          </w:p>
        </w:tc>
        <w:tc>
          <w:tcPr>
            <w:tcW w:type="dxa" w:w="7560"/>
            <w:tcMar>
              <w:top w:w="40" w:type="dxa"/>
              <w:start w:w="120" w:type="dxa"/>
              <w:bottom w:w="40" w:type="dxa"/>
              <w:end w:w="120" w:type="dxa"/>
            </w:tcMar>
            <w:vAlign w:val="center"/>
          </w:tcPr>
          <w:p>
            <w:pPr>
              <w:spacing w:after="0"/>
              <w:ind w:left="0" w:firstLine="0"/>
            </w:pPr>
            <w:r>
              <w:rPr>
                <w:rFonts w:ascii="Aptos" w:hAnsi="Aptos"/>
                <w:b w:val="0"/>
                <w:color w:val="17212B"/>
                <w:sz w:val="16"/>
              </w:rPr>
              <w:t>A specific dependency prevents meaningful progress; the missing input, owner, and next action are recorded.</w:t>
            </w:r>
          </w:p>
        </w:tc>
      </w:tr>
      <w:tr>
        <w:tc>
          <w:tcPr>
            <w:tcW w:type="dxa" w:w="1800"/>
            <w:tcMar>
              <w:top w:w="40" w:type="dxa"/>
              <w:start w:w="120" w:type="dxa"/>
              <w:bottom w:w="40" w:type="dxa"/>
              <w:end w:w="120" w:type="dxa"/>
            </w:tcMar>
            <w:vAlign w:val="center"/>
          </w:tcPr>
          <w:p>
            <w:pPr>
              <w:spacing w:after="0"/>
              <w:ind w:left="0" w:firstLine="0"/>
            </w:pPr>
            <w:r>
              <w:rPr>
                <w:rFonts w:ascii="Aptos" w:hAnsi="Aptos"/>
                <w:b w:val="0"/>
                <w:color w:val="17212B"/>
                <w:sz w:val="16"/>
              </w:rPr>
              <w:t>Historical</w:t>
            </w:r>
          </w:p>
        </w:tc>
        <w:tc>
          <w:tcPr>
            <w:tcW w:type="dxa" w:w="7560"/>
            <w:tcMar>
              <w:top w:w="40" w:type="dxa"/>
              <w:start w:w="120" w:type="dxa"/>
              <w:bottom w:w="40" w:type="dxa"/>
              <w:end w:w="120" w:type="dxa"/>
            </w:tcMar>
            <w:vAlign w:val="center"/>
          </w:tcPr>
          <w:p>
            <w:pPr>
              <w:spacing w:after="0"/>
              <w:ind w:left="0" w:firstLine="0"/>
            </w:pPr>
            <w:r>
              <w:rPr>
                <w:rFonts w:ascii="Aptos" w:hAnsi="Aptos"/>
                <w:b w:val="0"/>
                <w:color w:val="17212B"/>
                <w:sz w:val="16"/>
              </w:rPr>
              <w:t>Retained for lineage or evidence; not controlling current work.</w:t>
            </w:r>
          </w:p>
        </w:tc>
      </w:tr>
    </w:tbl>
    <w:p>
      <w:pPr>
        <w:spacing w:after="0" w:line="20" w:lineRule="exact"/>
      </w:pPr>
      <w:r>
        <w:rPr>
          <w:rFonts w:ascii="Aptos" w:hAnsi="Aptos"/>
          <w:color w:val="FFFFFF"/>
          <w:sz w:val="2"/>
        </w:rPr>
        <w:t xml:space="preserve"> </w:t>
      </w:r>
    </w:p>
    <w:p>
      <w:pPr>
        <w:pStyle w:val="Heading1"/>
        <w:pageBreakBefore/>
      </w:pPr>
      <w:r>
        <w:t>1. Purpose, Scope, and Boundaries</w:t>
      </w:r>
    </w:p>
    <w:p>
      <w:pPr>
        <w:pStyle w:val="Heading2"/>
      </w:pPr>
      <w:r>
        <w:t>1.1 Purpose</w:t>
      </w:r>
    </w:p>
    <w:p>
      <w:pPr/>
      <w:r>
        <w:rPr>
          <w:rFonts w:ascii="Aptos" w:hAnsi="Aptos"/>
          <w:color w:val="17212B"/>
          <w:sz w:val="21"/>
        </w:rPr>
        <w:t>This manual is the Company’s reusable internal procedure source. It establishes how work is accepted, classified, prepared, reviewed, approved, verified, recorded, handed off, and improved across the organization.</w:t>
      </w:r>
    </w:p>
    <w:p>
      <w:pPr/>
      <w:r>
        <w:rPr>
          <w:rFonts w:ascii="Aptos" w:hAnsi="Aptos"/>
          <w:color w:val="17212B"/>
          <w:sz w:val="21"/>
        </w:rPr>
        <w:t>It is designed to keep ordinary work moving while reserving consequential decisions for the correct owner and preserving clear evidence of what actually happened.</w:t>
      </w:r>
    </w:p>
    <w:p>
      <w:pPr>
        <w:pStyle w:val="Heading2"/>
      </w:pPr>
      <w:r>
        <w:t>1.2 What this manual covers</w:t>
      </w:r>
    </w:p>
    <w:p>
      <w:pPr>
        <w:pStyle w:val="ListBullet"/>
      </w:pPr>
      <w:r>
        <w:rPr>
          <w:rFonts w:ascii="Aptos" w:hAnsi="Aptos"/>
          <w:color w:val="17212B"/>
          <w:sz w:val="20"/>
        </w:rPr>
        <w:t>Work intake, triage, prioritization, ownership, and completion criteria.</w:t>
      </w:r>
    </w:p>
    <w:p>
      <w:pPr>
        <w:pStyle w:val="ListBullet"/>
      </w:pPr>
      <w:r>
        <w:rPr>
          <w:rFonts w:ascii="Aptos" w:hAnsi="Aptos"/>
          <w:color w:val="17212B"/>
          <w:sz w:val="20"/>
        </w:rPr>
        <w:t>Document control, records organization, source lineage, and proof retention.</w:t>
      </w:r>
    </w:p>
    <w:p>
      <w:pPr>
        <w:pStyle w:val="ListBullet"/>
      </w:pPr>
      <w:r>
        <w:rPr>
          <w:rFonts w:ascii="Aptos" w:hAnsi="Aptos"/>
          <w:color w:val="17212B"/>
          <w:sz w:val="20"/>
        </w:rPr>
        <w:t>Entity and client separation, conflicts screening, and scope control.</w:t>
      </w:r>
    </w:p>
    <w:p>
      <w:pPr>
        <w:pStyle w:val="ListBullet"/>
      </w:pPr>
      <w:r>
        <w:rPr>
          <w:rFonts w:ascii="Aptos" w:hAnsi="Aptos"/>
          <w:color w:val="17212B"/>
          <w:sz w:val="20"/>
        </w:rPr>
        <w:t>Internal approvals for spending, communications, access, vendors, and release.</w:t>
      </w:r>
    </w:p>
    <w:p>
      <w:pPr>
        <w:pStyle w:val="ListBullet"/>
      </w:pPr>
      <w:r>
        <w:rPr>
          <w:rFonts w:ascii="Aptos" w:hAnsi="Aptos"/>
          <w:color w:val="17212B"/>
          <w:sz w:val="20"/>
        </w:rPr>
        <w:t>Privacy, information security, device custody, incidents, and business continuity.</w:t>
      </w:r>
    </w:p>
    <w:p>
      <w:pPr>
        <w:pStyle w:val="ListBullet"/>
      </w:pPr>
      <w:r>
        <w:rPr>
          <w:rFonts w:ascii="Aptos" w:hAnsi="Aptos"/>
          <w:color w:val="17212B"/>
          <w:sz w:val="20"/>
        </w:rPr>
        <w:t>Quality assurance, handoffs, change control, and operating cadence.</w:t>
      </w:r>
    </w:p>
    <w:p>
      <w:pPr>
        <w:pStyle w:val="Heading2"/>
      </w:pPr>
      <w:r>
        <w:t>1.3 What this manual does not cover</w:t>
      </w:r>
    </w:p>
    <w:p>
      <w:pPr>
        <w:pStyle w:val="ListBullet"/>
      </w:pPr>
      <w:r>
        <w:rPr>
          <w:rFonts w:ascii="Aptos" w:hAnsi="Aptos"/>
          <w:color w:val="17212B"/>
          <w:sz w:val="20"/>
        </w:rPr>
        <w:t>Employee rights, workplace policies, benefits, leave, timekeeping rules, or employee acknowledgements; those belong in the employee handbook or other employee-facing documents.</w:t>
      </w:r>
    </w:p>
    <w:p>
      <w:pPr>
        <w:pStyle w:val="ListBullet"/>
      </w:pPr>
      <w:r>
        <w:rPr>
          <w:rFonts w:ascii="Aptos" w:hAnsi="Aptos"/>
          <w:color w:val="17212B"/>
          <w:sz w:val="20"/>
        </w:rPr>
        <w:t>Hiring or onboarding steps, employee-specific start gates, payroll forms, compensation, or classification decisions.</w:t>
      </w:r>
    </w:p>
    <w:p>
      <w:pPr>
        <w:pStyle w:val="ListBullet"/>
      </w:pPr>
      <w:r>
        <w:rPr>
          <w:rFonts w:ascii="Aptos" w:hAnsi="Aptos"/>
          <w:color w:val="17212B"/>
          <w:sz w:val="20"/>
        </w:rPr>
        <w:t>Legal, tax, accounting, insurance, licensing, payroll, or regulatory conclusions.</w:t>
      </w:r>
    </w:p>
    <w:p>
      <w:pPr>
        <w:pStyle w:val="ListBullet"/>
      </w:pPr>
      <w:r>
        <w:rPr>
          <w:rFonts w:ascii="Aptos" w:hAnsi="Aptos"/>
          <w:color w:val="17212B"/>
          <w:sz w:val="20"/>
        </w:rPr>
        <w:t>Client-specific scopes, prices, promises, contracts, deliverables, or access grants.</w:t>
      </w:r>
    </w:p>
    <w:p>
      <w:pPr>
        <w:pStyle w:val="ListBullet"/>
      </w:pPr>
      <w:r>
        <w:rPr>
          <w:rFonts w:ascii="Aptos" w:hAnsi="Aptos"/>
          <w:color w:val="17212B"/>
          <w:sz w:val="20"/>
        </w:rPr>
        <w:t>Technical configuration standards that are maintained in a current system-specific checklist.</w:t>
      </w:r>
    </w:p>
    <w:tbl>
      <w:tblPr>
        <w:tblW w:type="dxa" w:w="9360"/>
        <w:jc w:val="left"/>
        <w:tblLayout w:type="fixed"/>
        <w:tblLook w:firstColumn="1" w:firstRow="1" w:lastColumn="0" w:lastRow="0" w:noHBand="0" w:noVBand="1" w:val="04A0"/>
        <w:tblInd w:w="120" w:type="dxa"/>
        <w:tblBorders>
          <w:top w:val="single" w:sz="8" w:space="0" w:color="8A6500"/>
          <w:left w:val="single" w:sz="8" w:space="0" w:color="8A6500"/>
          <w:bottom w:val="single" w:sz="8" w:space="0" w:color="8A6500"/>
          <w:right w:val="single" w:sz="8" w:space="0" w:color="8A6500"/>
          <w:insideH w:val="single" w:sz="8" w:space="0" w:color="8A6500"/>
          <w:insideV w:val="single" w:sz="8" w:space="0" w:color="8A6500"/>
        </w:tblBorders>
      </w:tblPr>
      <w:tblGrid>
        <w:gridCol w:w="9360"/>
      </w:tblGrid>
      <w:tr>
        <w:trPr>
          <w:tblHeader w:val="true"/>
        </w:trPr>
        <w:tc>
          <w:tcPr>
            <w:tcW w:type="dxa" w:w="9360"/>
            <w:tcMar>
              <w:top w:w="130" w:type="dxa"/>
              <w:start w:w="180" w:type="dxa"/>
              <w:bottom w:w="130" w:type="dxa"/>
              <w:end w:w="180" w:type="dxa"/>
            </w:tcMar>
            <w:vAlign w:val="center"/>
            <w:shd w:fill="FFF6D8"/>
          </w:tcPr>
          <w:p>
            <w:pPr>
              <w:spacing w:after="0"/>
            </w:pPr>
            <w:r>
              <w:rPr>
                <w:rFonts w:ascii="Aptos" w:hAnsi="Aptos"/>
                <w:b/>
                <w:color w:val="8A6500"/>
                <w:sz w:val="19"/>
              </w:rPr>
              <w:t xml:space="preserve">BOUNDARY  </w:t>
            </w:r>
            <w:r>
              <w:rPr>
                <w:rFonts w:ascii="Aptos" w:hAnsi="Aptos"/>
                <w:color w:val="17212B"/>
                <w:sz w:val="19"/>
              </w:rPr>
              <w:t>Where a procedure touches employment, law, tax, payroll, insurance, licensing, safety, privacy, or a regulated activity, this manual identifies the operational handoff; it does not supply the professional conclusion.</w:t>
            </w:r>
          </w:p>
        </w:tc>
      </w:tr>
    </w:tbl>
    <w:p>
      <w:pPr>
        <w:spacing w:after="20"/>
      </w:pPr>
    </w:p>
    <w:p>
      <w:pPr>
        <w:pStyle w:val="Heading1"/>
        <w:pageBreakBefore/>
      </w:pPr>
      <w:r>
        <w:t>2. Authority and Accountability</w:t>
      </w:r>
    </w:p>
    <w:p>
      <w:pPr>
        <w:pStyle w:val="Heading2"/>
      </w:pPr>
      <w:r>
        <w:t>2.1 Roles</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400"/>
        <w:gridCol w:w="6960"/>
      </w:tblGrid>
      <w:tr>
        <w:trPr>
          <w:tblHeader w:val="true"/>
        </w:trPr>
        <w:tc>
          <w:tcPr>
            <w:tcW w:type="dxa" w:w="2400"/>
            <w:tcMar>
              <w:top w:w="100" w:type="dxa"/>
              <w:start w:w="120" w:type="dxa"/>
              <w:bottom w:w="100" w:type="dxa"/>
              <w:end w:w="120" w:type="dxa"/>
            </w:tcMar>
            <w:vAlign w:val="center"/>
            <w:shd w:fill="17365D"/>
          </w:tcPr>
          <w:p>
            <w:pPr>
              <w:spacing w:after="0"/>
              <w:ind w:left="0" w:firstLine="0"/>
            </w:pPr>
            <w:r>
              <w:rPr>
                <w:rFonts w:ascii="Aptos" w:hAnsi="Aptos"/>
                <w:b/>
                <w:color w:val="FFFFFF"/>
                <w:sz w:val="18"/>
              </w:rPr>
              <w:t>Role</w:t>
            </w:r>
          </w:p>
        </w:tc>
        <w:tc>
          <w:tcPr>
            <w:tcW w:type="dxa" w:w="6960"/>
            <w:tcMar>
              <w:top w:w="100" w:type="dxa"/>
              <w:start w:w="120" w:type="dxa"/>
              <w:bottom w:w="100" w:type="dxa"/>
              <w:end w:w="120" w:type="dxa"/>
            </w:tcMar>
            <w:vAlign w:val="center"/>
            <w:shd w:fill="17365D"/>
          </w:tcPr>
          <w:p>
            <w:pPr>
              <w:spacing w:after="0"/>
              <w:ind w:left="0" w:firstLine="0"/>
            </w:pPr>
            <w:r>
              <w:rPr>
                <w:rFonts w:ascii="Aptos" w:hAnsi="Aptos"/>
                <w:b/>
                <w:color w:val="FFFFFF"/>
                <w:sz w:val="18"/>
              </w:rPr>
              <w:t>Core accountability</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Owner or authorized decision maker / Owner</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Sets business direction; approves consequential actions; retains final authority over commitments, funds, filings, access, systems, external communications, and issued policy.</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Operations Coordinator</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Maintains the control record, routes work, reconciles status, organizes evidence, and prepares review candidates. Does not bind the Company.</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Workstream Owner</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Owns one defined outcome, source, completion test, due window, and proof return. Escalates material conflicts.</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Contributor</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Completes assigned preparation and returns evidence; does not expand scope or assume approval authority.</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Professional Reviewer</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Provides the conclusion or confirmation within the reviewer’s licensed or specialized scope. The Company records the advice and resulting owner decision.</w:t>
            </w:r>
          </w:p>
        </w:tc>
      </w:tr>
    </w:tbl>
    <w:p>
      <w:pPr>
        <w:spacing w:after="0" w:line="20" w:lineRule="exact"/>
      </w:pPr>
      <w:r>
        <w:rPr>
          <w:rFonts w:ascii="Aptos" w:hAnsi="Aptos"/>
          <w:color w:val="FFFFFF"/>
          <w:sz w:val="2"/>
        </w:rPr>
        <w:t xml:space="preserve"> </w:t>
      </w:r>
    </w:p>
    <w:p>
      <w:pPr>
        <w:pStyle w:val="Heading2"/>
      </w:pPr>
      <w:r>
        <w:t>2.2 Decision-rights matrix</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1750"/>
        <w:gridCol w:w="1900"/>
        <w:gridCol w:w="3250"/>
        <w:gridCol w:w="2460"/>
      </w:tblGrid>
      <w:tr>
        <w:trPr>
          <w:tblHeader w:val="true"/>
        </w:trPr>
        <w:tc>
          <w:tcPr>
            <w:tcW w:type="dxa" w:w="1750"/>
            <w:tcMar>
              <w:top w:w="100" w:type="dxa"/>
              <w:start w:w="120" w:type="dxa"/>
              <w:bottom w:w="100" w:type="dxa"/>
              <w:end w:w="120" w:type="dxa"/>
            </w:tcMar>
            <w:vAlign w:val="center"/>
            <w:shd w:fill="17365D"/>
          </w:tcPr>
          <w:p>
            <w:pPr>
              <w:spacing w:after="0"/>
              <w:ind w:left="0" w:firstLine="0"/>
            </w:pPr>
            <w:r>
              <w:rPr>
                <w:rFonts w:ascii="Aptos" w:hAnsi="Aptos"/>
                <w:b/>
                <w:color w:val="FFFFFF"/>
                <w:sz w:val="16"/>
              </w:rPr>
              <w:t>Action</w:t>
            </w:r>
          </w:p>
        </w:tc>
        <w:tc>
          <w:tcPr>
            <w:tcW w:type="dxa" w:w="1900"/>
            <w:tcMar>
              <w:top w:w="100" w:type="dxa"/>
              <w:start w:w="120" w:type="dxa"/>
              <w:bottom w:w="100" w:type="dxa"/>
              <w:end w:w="120" w:type="dxa"/>
            </w:tcMar>
            <w:vAlign w:val="center"/>
            <w:shd w:fill="17365D"/>
          </w:tcPr>
          <w:p>
            <w:pPr>
              <w:spacing w:after="0"/>
              <w:ind w:left="0" w:firstLine="0"/>
            </w:pPr>
            <w:r>
              <w:rPr>
                <w:rFonts w:ascii="Aptos" w:hAnsi="Aptos"/>
                <w:b/>
                <w:color w:val="FFFFFF"/>
                <w:sz w:val="16"/>
              </w:rPr>
              <w:t>Approver</w:t>
            </w:r>
          </w:p>
        </w:tc>
        <w:tc>
          <w:tcPr>
            <w:tcW w:type="dxa" w:w="3250"/>
            <w:tcMar>
              <w:top w:w="100" w:type="dxa"/>
              <w:start w:w="120" w:type="dxa"/>
              <w:bottom w:w="100" w:type="dxa"/>
              <w:end w:w="120" w:type="dxa"/>
            </w:tcMar>
            <w:vAlign w:val="center"/>
            <w:shd w:fill="17365D"/>
          </w:tcPr>
          <w:p>
            <w:pPr>
              <w:spacing w:after="0"/>
              <w:ind w:left="0" w:firstLine="0"/>
            </w:pPr>
            <w:r>
              <w:rPr>
                <w:rFonts w:ascii="Aptos" w:hAnsi="Aptos"/>
                <w:b/>
                <w:color w:val="FFFFFF"/>
                <w:sz w:val="16"/>
              </w:rPr>
              <w:t>Required review packet</w:t>
            </w:r>
          </w:p>
        </w:tc>
        <w:tc>
          <w:tcPr>
            <w:tcW w:type="dxa" w:w="2460"/>
            <w:tcMar>
              <w:top w:w="100" w:type="dxa"/>
              <w:start w:w="120" w:type="dxa"/>
              <w:bottom w:w="100" w:type="dxa"/>
              <w:end w:w="120" w:type="dxa"/>
            </w:tcMar>
            <w:vAlign w:val="center"/>
            <w:shd w:fill="17365D"/>
          </w:tcPr>
          <w:p>
            <w:pPr>
              <w:spacing w:after="0"/>
              <w:ind w:left="0" w:firstLine="0"/>
            </w:pPr>
            <w:r>
              <w:rPr>
                <w:rFonts w:ascii="Aptos" w:hAnsi="Aptos"/>
                <w:b/>
                <w:color w:val="FFFFFF"/>
                <w:sz w:val="16"/>
              </w:rPr>
              <w:t>Completion evidence</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Routine internal preparation</w:t>
            </w:r>
          </w:p>
        </w:tc>
        <w:tc>
          <w:tcPr>
            <w:tcW w:type="dxa" w:w="1900"/>
            <w:tcMar>
              <w:top w:w="100" w:type="dxa"/>
              <w:start w:w="120" w:type="dxa"/>
              <w:bottom w:w="100" w:type="dxa"/>
              <w:end w:w="120" w:type="dxa"/>
            </w:tcMar>
            <w:vAlign w:val="center"/>
          </w:tcPr>
          <w:p>
            <w:pPr>
              <w:spacing w:after="0"/>
              <w:ind w:left="0" w:firstLine="0"/>
            </w:pPr>
            <w:r>
              <w:rPr>
                <w:rFonts w:ascii="Aptos" w:hAnsi="Aptos"/>
                <w:b w:val="0"/>
                <w:color w:val="17212B"/>
                <w:sz w:val="16"/>
              </w:rPr>
              <w:t>Assigned workstream owner</w:t>
            </w:r>
          </w:p>
        </w:tc>
        <w:tc>
          <w:tcPr>
            <w:tcW w:type="dxa" w:w="3250"/>
            <w:tcMar>
              <w:top w:w="100" w:type="dxa"/>
              <w:start w:w="120" w:type="dxa"/>
              <w:bottom w:w="100" w:type="dxa"/>
              <w:end w:w="120" w:type="dxa"/>
            </w:tcMar>
            <w:vAlign w:val="center"/>
          </w:tcPr>
          <w:p>
            <w:pPr>
              <w:spacing w:after="0"/>
              <w:ind w:left="0" w:firstLine="0"/>
            </w:pPr>
            <w:r>
              <w:rPr>
                <w:rFonts w:ascii="Aptos" w:hAnsi="Aptos"/>
                <w:b w:val="0"/>
                <w:color w:val="17212B"/>
                <w:sz w:val="16"/>
              </w:rPr>
              <w:t>Approved scope and current source</w:t>
            </w:r>
          </w:p>
        </w:tc>
        <w:tc>
          <w:tcPr>
            <w:tcW w:type="dxa" w:w="2460"/>
            <w:tcMar>
              <w:top w:w="100" w:type="dxa"/>
              <w:start w:w="120" w:type="dxa"/>
              <w:bottom w:w="100" w:type="dxa"/>
              <w:end w:w="120" w:type="dxa"/>
            </w:tcMar>
            <w:vAlign w:val="center"/>
          </w:tcPr>
          <w:p>
            <w:pPr>
              <w:spacing w:after="0"/>
              <w:ind w:left="0" w:firstLine="0"/>
            </w:pPr>
            <w:r>
              <w:rPr>
                <w:rFonts w:ascii="Aptos" w:hAnsi="Aptos"/>
                <w:b w:val="0"/>
                <w:color w:val="17212B"/>
                <w:sz w:val="16"/>
              </w:rPr>
              <w:t>Prepared candidate and working proof</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Spend, payment, purchase, subscription</w:t>
            </w:r>
          </w:p>
        </w:tc>
        <w:tc>
          <w:tcPr>
            <w:tcW w:type="dxa" w:w="1900"/>
            <w:tcMar>
              <w:top w:w="100" w:type="dxa"/>
              <w:start w:w="120" w:type="dxa"/>
              <w:bottom w:w="100" w:type="dxa"/>
              <w:end w:w="120" w:type="dxa"/>
            </w:tcMar>
            <w:vAlign w:val="center"/>
          </w:tcPr>
          <w:p>
            <w:pPr>
              <w:spacing w:after="0"/>
              <w:ind w:left="0" w:firstLine="0"/>
            </w:pPr>
            <w:r>
              <w:rPr>
                <w:rFonts w:ascii="Aptos" w:hAnsi="Aptos"/>
                <w:b w:val="0"/>
                <w:color w:val="17212B"/>
                <w:sz w:val="16"/>
              </w:rPr>
              <w:t>Owner</w:t>
            </w:r>
          </w:p>
        </w:tc>
        <w:tc>
          <w:tcPr>
            <w:tcW w:type="dxa" w:w="3250"/>
            <w:tcMar>
              <w:top w:w="100" w:type="dxa"/>
              <w:start w:w="120" w:type="dxa"/>
              <w:bottom w:w="100" w:type="dxa"/>
              <w:end w:w="120" w:type="dxa"/>
            </w:tcMar>
            <w:vAlign w:val="center"/>
          </w:tcPr>
          <w:p>
            <w:pPr>
              <w:spacing w:after="0"/>
              <w:ind w:left="0" w:firstLine="0"/>
            </w:pPr>
            <w:r>
              <w:rPr>
                <w:rFonts w:ascii="Aptos" w:hAnsi="Aptos"/>
                <w:b w:val="0"/>
                <w:color w:val="17212B"/>
                <w:sz w:val="16"/>
              </w:rPr>
              <w:t>Exact amount, vendor, purpose, funding source, and terms</w:t>
            </w:r>
          </w:p>
        </w:tc>
        <w:tc>
          <w:tcPr>
            <w:tcW w:type="dxa" w:w="2460"/>
            <w:tcMar>
              <w:top w:w="100" w:type="dxa"/>
              <w:start w:w="120" w:type="dxa"/>
              <w:bottom w:w="100" w:type="dxa"/>
              <w:end w:w="120" w:type="dxa"/>
            </w:tcMar>
            <w:vAlign w:val="center"/>
          </w:tcPr>
          <w:p>
            <w:pPr>
              <w:spacing w:after="0"/>
              <w:ind w:left="0" w:firstLine="0"/>
            </w:pPr>
            <w:r>
              <w:rPr>
                <w:rFonts w:ascii="Aptos" w:hAnsi="Aptos"/>
                <w:b w:val="0"/>
                <w:color w:val="17212B"/>
                <w:sz w:val="16"/>
              </w:rPr>
              <w:t>Receipt, confirmation, and accounting record</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External communication</w:t>
            </w:r>
          </w:p>
        </w:tc>
        <w:tc>
          <w:tcPr>
            <w:tcW w:type="dxa" w:w="1900"/>
            <w:tcMar>
              <w:top w:w="100" w:type="dxa"/>
              <w:start w:w="120" w:type="dxa"/>
              <w:bottom w:w="100" w:type="dxa"/>
              <w:end w:w="120" w:type="dxa"/>
            </w:tcMar>
            <w:vAlign w:val="center"/>
          </w:tcPr>
          <w:p>
            <w:pPr>
              <w:spacing w:after="0"/>
              <w:ind w:left="0" w:firstLine="0"/>
            </w:pPr>
            <w:r>
              <w:rPr>
                <w:rFonts w:ascii="Aptos" w:hAnsi="Aptos"/>
                <w:b w:val="0"/>
                <w:color w:val="17212B"/>
                <w:sz w:val="16"/>
              </w:rPr>
              <w:t>Owner or specifically delegated approver</w:t>
            </w:r>
          </w:p>
        </w:tc>
        <w:tc>
          <w:tcPr>
            <w:tcW w:type="dxa" w:w="3250"/>
            <w:tcMar>
              <w:top w:w="100" w:type="dxa"/>
              <w:start w:w="120" w:type="dxa"/>
              <w:bottom w:w="100" w:type="dxa"/>
              <w:end w:w="120" w:type="dxa"/>
            </w:tcMar>
            <w:vAlign w:val="center"/>
          </w:tcPr>
          <w:p>
            <w:pPr>
              <w:spacing w:after="0"/>
              <w:ind w:left="0" w:firstLine="0"/>
            </w:pPr>
            <w:r>
              <w:rPr>
                <w:rFonts w:ascii="Aptos" w:hAnsi="Aptos"/>
                <w:b w:val="0"/>
                <w:color w:val="17212B"/>
                <w:sz w:val="16"/>
              </w:rPr>
              <w:t>Exact final content, sender, recipients, attachments, and channel</w:t>
            </w:r>
          </w:p>
        </w:tc>
        <w:tc>
          <w:tcPr>
            <w:tcW w:type="dxa" w:w="2460"/>
            <w:tcMar>
              <w:top w:w="100" w:type="dxa"/>
              <w:start w:w="120" w:type="dxa"/>
              <w:bottom w:w="100" w:type="dxa"/>
              <w:end w:w="120" w:type="dxa"/>
            </w:tcMar>
            <w:vAlign w:val="center"/>
          </w:tcPr>
          <w:p>
            <w:pPr>
              <w:spacing w:after="0"/>
              <w:ind w:left="0" w:firstLine="0"/>
            </w:pPr>
            <w:r>
              <w:rPr>
                <w:rFonts w:ascii="Aptos" w:hAnsi="Aptos"/>
                <w:b w:val="0"/>
                <w:color w:val="17212B"/>
                <w:sz w:val="16"/>
              </w:rPr>
              <w:t>Sent-item or recipient confirmation</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Publication / deployment</w:t>
            </w:r>
          </w:p>
        </w:tc>
        <w:tc>
          <w:tcPr>
            <w:tcW w:type="dxa" w:w="1900"/>
            <w:tcMar>
              <w:top w:w="100" w:type="dxa"/>
              <w:start w:w="120" w:type="dxa"/>
              <w:bottom w:w="100" w:type="dxa"/>
              <w:end w:w="120" w:type="dxa"/>
            </w:tcMar>
            <w:vAlign w:val="center"/>
          </w:tcPr>
          <w:p>
            <w:pPr>
              <w:spacing w:after="0"/>
              <w:ind w:left="0" w:firstLine="0"/>
            </w:pPr>
            <w:r>
              <w:rPr>
                <w:rFonts w:ascii="Aptos" w:hAnsi="Aptos"/>
                <w:b w:val="0"/>
                <w:color w:val="17212B"/>
                <w:sz w:val="16"/>
              </w:rPr>
              <w:t>Owner</w:t>
            </w:r>
          </w:p>
        </w:tc>
        <w:tc>
          <w:tcPr>
            <w:tcW w:type="dxa" w:w="3250"/>
            <w:tcMar>
              <w:top w:w="100" w:type="dxa"/>
              <w:start w:w="120" w:type="dxa"/>
              <w:bottom w:w="100" w:type="dxa"/>
              <w:end w:w="120" w:type="dxa"/>
            </w:tcMar>
            <w:vAlign w:val="center"/>
          </w:tcPr>
          <w:p>
            <w:pPr>
              <w:spacing w:after="0"/>
              <w:ind w:left="0" w:firstLine="0"/>
            </w:pPr>
            <w:r>
              <w:rPr>
                <w:rFonts w:ascii="Aptos" w:hAnsi="Aptos"/>
                <w:b w:val="0"/>
                <w:color w:val="17212B"/>
                <w:sz w:val="16"/>
              </w:rPr>
              <w:t>Final artifact, destination, privacy/data behavior, rollback plan</w:t>
            </w:r>
          </w:p>
        </w:tc>
        <w:tc>
          <w:tcPr>
            <w:tcW w:type="dxa" w:w="2460"/>
            <w:tcMar>
              <w:top w:w="100" w:type="dxa"/>
              <w:start w:w="120" w:type="dxa"/>
              <w:bottom w:w="100" w:type="dxa"/>
              <w:end w:w="120" w:type="dxa"/>
            </w:tcMar>
            <w:vAlign w:val="center"/>
          </w:tcPr>
          <w:p>
            <w:pPr>
              <w:spacing w:after="0"/>
              <w:ind w:left="0" w:firstLine="0"/>
            </w:pPr>
            <w:r>
              <w:rPr>
                <w:rFonts w:ascii="Aptos" w:hAnsi="Aptos"/>
                <w:b w:val="0"/>
                <w:color w:val="17212B"/>
                <w:sz w:val="16"/>
              </w:rPr>
              <w:t>Live readback and release record</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Filing / signature / binding commitment</w:t>
            </w:r>
          </w:p>
        </w:tc>
        <w:tc>
          <w:tcPr>
            <w:tcW w:type="dxa" w:w="1900"/>
            <w:tcMar>
              <w:top w:w="100" w:type="dxa"/>
              <w:start w:w="120" w:type="dxa"/>
              <w:bottom w:w="100" w:type="dxa"/>
              <w:end w:w="120" w:type="dxa"/>
            </w:tcMar>
            <w:vAlign w:val="center"/>
          </w:tcPr>
          <w:p>
            <w:pPr>
              <w:spacing w:after="0"/>
              <w:ind w:left="0" w:firstLine="0"/>
            </w:pPr>
            <w:r>
              <w:rPr>
                <w:rFonts w:ascii="Aptos" w:hAnsi="Aptos"/>
                <w:b w:val="0"/>
                <w:color w:val="17212B"/>
                <w:sz w:val="16"/>
              </w:rPr>
              <w:t>Owner / authorized signatory</w:t>
            </w:r>
          </w:p>
        </w:tc>
        <w:tc>
          <w:tcPr>
            <w:tcW w:type="dxa" w:w="3250"/>
            <w:tcMar>
              <w:top w:w="100" w:type="dxa"/>
              <w:start w:w="120" w:type="dxa"/>
              <w:bottom w:w="100" w:type="dxa"/>
              <w:end w:w="120" w:type="dxa"/>
            </w:tcMar>
            <w:vAlign w:val="center"/>
          </w:tcPr>
          <w:p>
            <w:pPr>
              <w:spacing w:after="0"/>
              <w:ind w:left="0" w:firstLine="0"/>
            </w:pPr>
            <w:r>
              <w:rPr>
                <w:rFonts w:ascii="Aptos" w:hAnsi="Aptos"/>
                <w:b w:val="0"/>
                <w:color w:val="17212B"/>
                <w:sz w:val="16"/>
              </w:rPr>
              <w:t>Final instrument and required professional review</w:t>
            </w:r>
          </w:p>
        </w:tc>
        <w:tc>
          <w:tcPr>
            <w:tcW w:type="dxa" w:w="2460"/>
            <w:tcMar>
              <w:top w:w="100" w:type="dxa"/>
              <w:start w:w="120" w:type="dxa"/>
              <w:bottom w:w="100" w:type="dxa"/>
              <w:end w:w="120" w:type="dxa"/>
            </w:tcMar>
            <w:vAlign w:val="center"/>
          </w:tcPr>
          <w:p>
            <w:pPr>
              <w:spacing w:after="0"/>
              <w:ind w:left="0" w:firstLine="0"/>
            </w:pPr>
            <w:r>
              <w:rPr>
                <w:rFonts w:ascii="Aptos" w:hAnsi="Aptos"/>
                <w:b w:val="0"/>
                <w:color w:val="17212B"/>
                <w:sz w:val="16"/>
              </w:rPr>
              <w:t>Accepted filing, countersigned agreement, or official receipt</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Account, access, credential, or provider change</w:t>
            </w:r>
          </w:p>
        </w:tc>
        <w:tc>
          <w:tcPr>
            <w:tcW w:type="dxa" w:w="1900"/>
            <w:tcMar>
              <w:top w:w="100" w:type="dxa"/>
              <w:start w:w="120" w:type="dxa"/>
              <w:bottom w:w="100" w:type="dxa"/>
              <w:end w:w="120" w:type="dxa"/>
            </w:tcMar>
            <w:vAlign w:val="center"/>
          </w:tcPr>
          <w:p>
            <w:pPr>
              <w:spacing w:after="0"/>
              <w:ind w:left="0" w:firstLine="0"/>
            </w:pPr>
            <w:r>
              <w:rPr>
                <w:rFonts w:ascii="Aptos" w:hAnsi="Aptos"/>
                <w:b w:val="0"/>
                <w:color w:val="17212B"/>
                <w:sz w:val="16"/>
              </w:rPr>
              <w:t>Owner</w:t>
            </w:r>
          </w:p>
        </w:tc>
        <w:tc>
          <w:tcPr>
            <w:tcW w:type="dxa" w:w="3250"/>
            <w:tcMar>
              <w:top w:w="100" w:type="dxa"/>
              <w:start w:w="120" w:type="dxa"/>
              <w:bottom w:w="100" w:type="dxa"/>
              <w:end w:w="120" w:type="dxa"/>
            </w:tcMar>
            <w:vAlign w:val="center"/>
          </w:tcPr>
          <w:p>
            <w:pPr>
              <w:spacing w:after="0"/>
              <w:ind w:left="0" w:firstLine="0"/>
            </w:pPr>
            <w:r>
              <w:rPr>
                <w:rFonts w:ascii="Aptos" w:hAnsi="Aptos"/>
                <w:b w:val="0"/>
                <w:color w:val="17212B"/>
                <w:sz w:val="16"/>
              </w:rPr>
              <w:t>Named account, current owner/admin, requested role, recovery plan</w:t>
            </w:r>
          </w:p>
        </w:tc>
        <w:tc>
          <w:tcPr>
            <w:tcW w:type="dxa" w:w="2460"/>
            <w:tcMar>
              <w:top w:w="100" w:type="dxa"/>
              <w:start w:w="120" w:type="dxa"/>
              <w:bottom w:w="100" w:type="dxa"/>
              <w:end w:w="120" w:type="dxa"/>
            </w:tcMar>
            <w:vAlign w:val="center"/>
          </w:tcPr>
          <w:p>
            <w:pPr>
              <w:spacing w:after="0"/>
              <w:ind w:left="0" w:firstLine="0"/>
            </w:pPr>
            <w:r>
              <w:rPr>
                <w:rFonts w:ascii="Aptos" w:hAnsi="Aptos"/>
                <w:b w:val="0"/>
                <w:color w:val="17212B"/>
                <w:sz w:val="16"/>
              </w:rPr>
              <w:t>Provider readback and access register update</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Material deletion or disposition</w:t>
            </w:r>
          </w:p>
        </w:tc>
        <w:tc>
          <w:tcPr>
            <w:tcW w:type="dxa" w:w="1900"/>
            <w:tcMar>
              <w:top w:w="100" w:type="dxa"/>
              <w:start w:w="120" w:type="dxa"/>
              <w:bottom w:w="100" w:type="dxa"/>
              <w:end w:w="120" w:type="dxa"/>
            </w:tcMar>
            <w:vAlign w:val="center"/>
          </w:tcPr>
          <w:p>
            <w:pPr>
              <w:spacing w:after="0"/>
              <w:ind w:left="0" w:firstLine="0"/>
            </w:pPr>
            <w:r>
              <w:rPr>
                <w:rFonts w:ascii="Aptos" w:hAnsi="Aptos"/>
                <w:b w:val="0"/>
                <w:color w:val="17212B"/>
                <w:sz w:val="16"/>
              </w:rPr>
              <w:t>Owner</w:t>
            </w:r>
          </w:p>
        </w:tc>
        <w:tc>
          <w:tcPr>
            <w:tcW w:type="dxa" w:w="3250"/>
            <w:tcMar>
              <w:top w:w="100" w:type="dxa"/>
              <w:start w:w="120" w:type="dxa"/>
              <w:bottom w:w="100" w:type="dxa"/>
              <w:end w:w="120" w:type="dxa"/>
            </w:tcMar>
            <w:vAlign w:val="center"/>
          </w:tcPr>
          <w:p>
            <w:pPr>
              <w:spacing w:after="0"/>
              <w:ind w:left="0" w:firstLine="0"/>
            </w:pPr>
            <w:r>
              <w:rPr>
                <w:rFonts w:ascii="Aptos" w:hAnsi="Aptos"/>
                <w:b w:val="0"/>
                <w:color w:val="17212B"/>
                <w:sz w:val="16"/>
              </w:rPr>
              <w:t>Exact target, retention need, recovery method, and proof</w:t>
            </w:r>
          </w:p>
        </w:tc>
        <w:tc>
          <w:tcPr>
            <w:tcW w:type="dxa" w:w="2460"/>
            <w:tcMar>
              <w:top w:w="100" w:type="dxa"/>
              <w:start w:w="120" w:type="dxa"/>
              <w:bottom w:w="100" w:type="dxa"/>
              <w:end w:w="120" w:type="dxa"/>
            </w:tcMar>
            <w:vAlign w:val="center"/>
          </w:tcPr>
          <w:p>
            <w:pPr>
              <w:spacing w:after="0"/>
              <w:ind w:left="0" w:firstLine="0"/>
            </w:pPr>
            <w:r>
              <w:rPr>
                <w:rFonts w:ascii="Aptos" w:hAnsi="Aptos"/>
                <w:b w:val="0"/>
                <w:color w:val="17212B"/>
                <w:sz w:val="16"/>
              </w:rPr>
              <w:t>Deletion/disposition record and verification</w:t>
            </w:r>
          </w:p>
        </w:tc>
      </w:tr>
    </w:tbl>
    <w:p>
      <w:pPr>
        <w:spacing w:after="0" w:line="20" w:lineRule="exact"/>
      </w:pPr>
      <w:r>
        <w:rPr>
          <w:rFonts w:ascii="Aptos" w:hAnsi="Aptos"/>
          <w:color w:val="FFFFFF"/>
          <w:sz w:val="2"/>
        </w:rPr>
        <w:t xml:space="preserve"> </w:t>
      </w:r>
    </w:p>
    <w:p>
      <w:pPr>
        <w:pStyle w:val="Heading2"/>
      </w:pPr>
      <w:r>
        <w:t>2.3 Delegation</w:t>
      </w:r>
    </w:p>
    <w:p>
      <w:pPr/>
      <w:r>
        <w:rPr>
          <w:rFonts w:ascii="Aptos" w:hAnsi="Aptos"/>
          <w:color w:val="17212B"/>
          <w:sz w:val="21"/>
        </w:rPr>
        <w:t>Delegation must be explicit, bounded, and recorded. It identifies the person, the exact authority, the applicable entity or account, any spending or time limit, the effective period, and the required evidence. Access to a system does not by itself create authority to spend, send, approve, sign, or change settings.</w:t>
      </w:r>
    </w:p>
    <w:p>
      <w:pPr>
        <w:pStyle w:val="Heading1"/>
        <w:pageBreakBefore/>
      </w:pPr>
      <w:r>
        <w:t>3. Entity, Client, and Conflict Separation</w:t>
      </w:r>
    </w:p>
    <w:tbl>
      <w:tblPr>
        <w:tblW w:type="dxa" w:w="9360"/>
        <w:jc w:val="left"/>
        <w:tblLayout w:type="fixed"/>
        <w:tblLook w:firstColumn="1" w:firstRow="1" w:lastColumn="0" w:lastRow="0" w:noHBand="0" w:noVBand="1" w:val="04A0"/>
        <w:tblInd w:w="120" w:type="dxa"/>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Pr>
      <w:tblGrid>
        <w:gridCol w:w="9360"/>
      </w:tblGrid>
      <w:tr>
        <w:trPr>
          <w:tblHeader w:val="true"/>
        </w:trPr>
        <w:tc>
          <w:tcPr>
            <w:tcW w:type="dxa" w:w="9360"/>
            <w:tcMar>
              <w:top w:w="130" w:type="dxa"/>
              <w:start w:w="180" w:type="dxa"/>
              <w:bottom w:w="130" w:type="dxa"/>
              <w:end w:w="180" w:type="dxa"/>
            </w:tcMar>
            <w:vAlign w:val="center"/>
            <w:shd w:fill="E8EEF5"/>
          </w:tcPr>
          <w:p>
            <w:pPr>
              <w:spacing w:after="0"/>
            </w:pPr>
            <w:r>
              <w:rPr>
                <w:rFonts w:ascii="Aptos" w:hAnsi="Aptos"/>
                <w:b/>
                <w:color w:val="17365D"/>
                <w:sz w:val="19"/>
              </w:rPr>
              <w:t xml:space="preserve">COMPANY ROLE  Trailer repair and refurbishment work requires documented customer approvals, competent mechanical judgment, safe work, parts records and completion evidence. This manual grants no authority over another entity and promises no regulated service or credential.</w:t>
            </w:r>
            <w:r>
              <w:rPr>
                <w:rFonts w:ascii="Aptos" w:hAnsi="Aptos"/>
                <w:color w:val="17212B"/>
                <w:sz w:val="19"/>
              </w:rPr>
              <w:t/>
            </w:r>
          </w:p>
        </w:tc>
      </w:tr>
    </w:tbl>
    <w:p>
      <w:pPr>
        <w:spacing w:after="20"/>
      </w:pPr>
    </w:p>
    <w:p>
      <w:pPr>
        <w:pStyle w:val="Heading2"/>
      </w:pPr>
      <w:r>
        <w:t>3.1 Separation standard</w:t>
      </w:r>
    </w:p>
    <w:p>
      <w:pPr>
        <w:pStyle w:val="ListBullet"/>
      </w:pPr>
      <w:r>
        <w:rPr>
          <w:rFonts w:ascii="Aptos" w:hAnsi="Aptos"/>
          <w:color w:val="17212B"/>
          <w:sz w:val="20"/>
        </w:rPr>
        <w:t>Identify the legal entity and accountable owner before creating a file, account, contract, payment, invoice, customer record, or public statement.</w:t>
      </w:r>
    </w:p>
    <w:p>
      <w:pPr>
        <w:pStyle w:val="ListBullet"/>
      </w:pPr>
      <w:r>
        <w:rPr>
          <w:rFonts w:ascii="Aptos" w:hAnsi="Aptos"/>
          <w:color w:val="17212B"/>
          <w:sz w:val="20"/>
        </w:rPr>
        <w:t>Keep each entity’s contracts, bank and merchant accounts, books, taxes, licenses, insurance, titles, assets, customer records, refunds, chargebacks, credentials, and revenue attributable to that entity.</w:t>
      </w:r>
    </w:p>
    <w:p>
      <w:pPr>
        <w:pStyle w:val="ListBullet"/>
      </w:pPr>
      <w:r>
        <w:rPr>
          <w:rFonts w:ascii="Aptos" w:hAnsi="Aptos"/>
          <w:color w:val="17212B"/>
          <w:sz w:val="20"/>
        </w:rPr>
        <w:t>Do not route another entity’s customer payments, deposits, sale proceeds, taxes, refunds, or chargebacks through the Company unless a reviewed written arrangement and appropriate professional confirmation expressly authorize it.</w:t>
      </w:r>
    </w:p>
    <w:p>
      <w:pPr>
        <w:pStyle w:val="ListBullet"/>
      </w:pPr>
      <w:r>
        <w:rPr>
          <w:rFonts w:ascii="Aptos" w:hAnsi="Aptos"/>
          <w:color w:val="17212B"/>
          <w:sz w:val="20"/>
        </w:rPr>
        <w:t>Use entity-specific names, signatures, letterhead, sender identities, domains, storage locations, and accounting records. Neutral templates may be reused only after all prior-entity data is removed.</w:t>
      </w:r>
    </w:p>
    <w:p>
      <w:pPr>
        <w:pStyle w:val="ListBullet"/>
      </w:pPr>
      <w:r>
        <w:rPr>
          <w:rFonts w:ascii="Aptos" w:hAnsi="Aptos"/>
          <w:color w:val="17212B"/>
          <w:sz w:val="20"/>
        </w:rPr>
        <w:t>Never assume one person’s private access, authority, context, or approval applies to another person or entity.</w:t>
      </w:r>
    </w:p>
    <w:p>
      <w:pPr>
        <w:pStyle w:val="Heading2"/>
      </w:pPr>
      <w:r>
        <w:t>3.2 Conflict and related-party screen</w:t>
      </w:r>
    </w:p>
    <w:p>
      <w:pPr>
        <w:pStyle w:val="Checklist"/>
      </w:pPr>
      <w:r>
        <w:rPr>
          <w:rFonts w:ascii="Arial" w:hAnsi="Arial"/>
          <w:color w:val="2E74B5"/>
          <w:sz w:val="21"/>
        </w:rPr>
        <w:t xml:space="preserve">☐  </w:t>
      </w:r>
      <w:r>
        <w:rPr>
          <w:rFonts w:ascii="Aptos" w:hAnsi="Aptos"/>
          <w:color w:val="17212B"/>
          <w:sz w:val="20"/>
        </w:rPr>
        <w:t>A Company owner or team member also owns, manages, advises, works for, or receives money from the subject business.</w:t>
      </w:r>
    </w:p>
    <w:p>
      <w:pPr>
        <w:pStyle w:val="Checklist"/>
      </w:pPr>
      <w:r>
        <w:rPr>
          <w:rFonts w:ascii="Arial" w:hAnsi="Arial"/>
          <w:color w:val="2E74B5"/>
          <w:sz w:val="21"/>
        </w:rPr>
        <w:t xml:space="preserve">☐  </w:t>
      </w:r>
      <w:r>
        <w:rPr>
          <w:rFonts w:ascii="Aptos" w:hAnsi="Aptos"/>
          <w:color w:val="17212B"/>
          <w:sz w:val="20"/>
        </w:rPr>
        <w:t>The work involves transactions, referrals, shared assets, workers, property, data, customers, or vendors across entities.</w:t>
      </w:r>
    </w:p>
    <w:p>
      <w:pPr>
        <w:pStyle w:val="Checklist"/>
      </w:pPr>
      <w:r>
        <w:rPr>
          <w:rFonts w:ascii="Arial" w:hAnsi="Arial"/>
          <w:color w:val="2E74B5"/>
          <w:sz w:val="21"/>
        </w:rPr>
        <w:t xml:space="preserve">☐  </w:t>
      </w:r>
      <w:r>
        <w:rPr>
          <w:rFonts w:ascii="Aptos" w:hAnsi="Aptos"/>
          <w:color w:val="17212B"/>
          <w:sz w:val="20"/>
        </w:rPr>
        <w:t>A family member, owner, manager, or Company-connected person may benefit personally from the proposed action.</w:t>
      </w:r>
    </w:p>
    <w:p>
      <w:pPr>
        <w:pStyle w:val="Checklist"/>
      </w:pPr>
      <w:r>
        <w:rPr>
          <w:rFonts w:ascii="Arial" w:hAnsi="Arial"/>
          <w:color w:val="2E74B5"/>
          <w:sz w:val="21"/>
        </w:rPr>
        <w:t xml:space="preserve">☐  </w:t>
      </w:r>
      <w:r>
        <w:rPr>
          <w:rFonts w:ascii="Aptos" w:hAnsi="Aptos"/>
          <w:color w:val="17212B"/>
          <w:sz w:val="20"/>
        </w:rPr>
        <w:t>Information must be segregated from another client, entity, owner, or workstream.</w:t>
      </w:r>
    </w:p>
    <w:p>
      <w:pPr>
        <w:pStyle w:val="Checklist"/>
      </w:pPr>
      <w:r>
        <w:rPr>
          <w:rFonts w:ascii="Arial" w:hAnsi="Arial"/>
          <w:color w:val="2E74B5"/>
          <w:sz w:val="21"/>
        </w:rPr>
        <w:t xml:space="preserve">☐  </w:t>
      </w:r>
      <w:r>
        <w:rPr>
          <w:rFonts w:ascii="Aptos" w:hAnsi="Aptos"/>
          <w:color w:val="17212B"/>
          <w:sz w:val="20"/>
        </w:rPr>
        <w:t>Company would be asked to make a promise, recommendation, or decision outside the approved support role.</w:t>
      </w:r>
    </w:p>
    <w:p>
      <w:pPr/>
      <w:r>
        <w:rPr>
          <w:rFonts w:ascii="Aptos" w:hAnsi="Aptos"/>
          <w:color w:val="17212B"/>
          <w:sz w:val="21"/>
        </w:rPr>
        <w:t>If any item is yes or uncertain, document the parties, interests, affected records, proposed safeguards, and owner decision before proceeding. Obtain counsel review where duties, consent, disclosure, privilege, or enforceability could be affected.</w:t>
      </w:r>
    </w:p>
    <w:p>
      <w:pPr>
        <w:pStyle w:val="Heading1"/>
        <w:pageBreakBefore/>
      </w:pPr>
      <w:r>
        <w:t>4. Work Intake, Triage, and Prioritization</w:t>
      </w:r>
    </w:p>
    <w:p>
      <w:pPr>
        <w:pStyle w:val="Heading2"/>
      </w:pPr>
      <w:r>
        <w:t>4.1 Minimum work brief</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100"/>
        <w:gridCol w:w="7260"/>
      </w:tblGrid>
      <w:tr>
        <w:trPr>
          <w:tblHeader w:val="true"/>
        </w:trPr>
        <w:tc>
          <w:tcPr>
            <w:tcW w:type="dxa" w:w="2100"/>
            <w:tcMar>
              <w:top w:w="100" w:type="dxa"/>
              <w:start w:w="120" w:type="dxa"/>
              <w:bottom w:w="100" w:type="dxa"/>
              <w:end w:w="120" w:type="dxa"/>
            </w:tcMar>
            <w:vAlign w:val="center"/>
            <w:shd w:fill="17365D"/>
          </w:tcPr>
          <w:p>
            <w:pPr>
              <w:spacing w:after="0"/>
              <w:ind w:left="0" w:firstLine="0"/>
            </w:pPr>
            <w:r>
              <w:rPr>
                <w:rFonts w:ascii="Aptos" w:hAnsi="Aptos"/>
                <w:b/>
                <w:color w:val="FFFFFF"/>
                <w:sz w:val="18"/>
              </w:rPr>
              <w:t>Field</w:t>
            </w:r>
          </w:p>
        </w:tc>
        <w:tc>
          <w:tcPr>
            <w:tcW w:type="dxa" w:w="7260"/>
            <w:tcMar>
              <w:top w:w="100" w:type="dxa"/>
              <w:start w:w="120" w:type="dxa"/>
              <w:bottom w:w="100" w:type="dxa"/>
              <w:end w:w="120" w:type="dxa"/>
            </w:tcMar>
            <w:vAlign w:val="center"/>
            <w:shd w:fill="17365D"/>
          </w:tcPr>
          <w:p>
            <w:pPr>
              <w:spacing w:after="0"/>
              <w:ind w:left="0" w:firstLine="0"/>
            </w:pPr>
            <w:r>
              <w:rPr>
                <w:rFonts w:ascii="Aptos" w:hAnsi="Aptos"/>
                <w:b/>
                <w:color w:val="FFFFFF"/>
                <w:sz w:val="18"/>
              </w:rPr>
              <w:t>Required definition</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Outcome</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The visible result or decision to produce.</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Entity / owner</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The accountable legal entity and human owner.</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Controlling source</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The current file, record, system, instruction, or authoritative evidence.</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Completion test</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The objective proof that makes the work complete.</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Decision window</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The real due date, event, expiration, cost, or dependency.</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Constraints</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Budget, privacy, scope, entity, access, professional, and approval boundaries.</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Next action</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The smallest physical action that materially advances the outcome.</w:t>
            </w:r>
          </w:p>
        </w:tc>
      </w:tr>
    </w:tbl>
    <w:p>
      <w:pPr>
        <w:spacing w:after="0" w:line="20" w:lineRule="exact"/>
      </w:pPr>
      <w:r>
        <w:rPr>
          <w:rFonts w:ascii="Aptos" w:hAnsi="Aptos"/>
          <w:color w:val="FFFFFF"/>
          <w:sz w:val="2"/>
        </w:rPr>
        <w:t xml:space="preserve"> </w:t>
      </w:r>
    </w:p>
    <w:p>
      <w:pPr>
        <w:pStyle w:val="Heading2"/>
      </w:pPr>
      <w:r>
        <w:t>4.2 Intake procedure</w:t>
      </w:r>
    </w:p>
    <w:p>
      <w:pPr>
        <w:spacing w:after="80" w:line="276" w:lineRule="auto"/>
        <w:numPr>
          <w:ilvl w:val="0"/>
          <w:numId w:val="11"/>
        </w:numPr>
      </w:pPr>
      <w:r>
        <w:rPr>
          <w:rFonts w:ascii="Aptos" w:hAnsi="Aptos"/>
          <w:color w:val="17212B"/>
          <w:sz w:val="20"/>
        </w:rPr>
        <w:t>Capture the requester’s desired outcome and the exact visible words, filename, sender, date, URL, error, or symptom when diagnosing an existing item.</w:t>
      </w:r>
    </w:p>
    <w:p>
      <w:pPr>
        <w:spacing w:after="80" w:line="276" w:lineRule="auto"/>
        <w:numPr>
          <w:ilvl w:val="0"/>
          <w:numId w:val="11"/>
        </w:numPr>
      </w:pPr>
      <w:r>
        <w:rPr>
          <w:rFonts w:ascii="Aptos" w:hAnsi="Aptos"/>
          <w:color w:val="17212B"/>
          <w:sz w:val="20"/>
        </w:rPr>
        <w:t>Classify the object before acting: record, document, task, account, system, communication, transaction, or decision.</w:t>
      </w:r>
    </w:p>
    <w:p>
      <w:pPr>
        <w:spacing w:after="80" w:line="276" w:lineRule="auto"/>
        <w:numPr>
          <w:ilvl w:val="0"/>
          <w:numId w:val="11"/>
        </w:numPr>
      </w:pPr>
      <w:r>
        <w:rPr>
          <w:rFonts w:ascii="Aptos" w:hAnsi="Aptos"/>
          <w:color w:val="17212B"/>
          <w:sz w:val="20"/>
        </w:rPr>
        <w:t>Identify the entity, owner, access state, and current source. Use an exact-identifier lookup first; broaden only as needed.</w:t>
      </w:r>
    </w:p>
    <w:p>
      <w:pPr>
        <w:spacing w:after="80" w:line="276" w:lineRule="auto"/>
        <w:numPr>
          <w:ilvl w:val="0"/>
          <w:numId w:val="11"/>
        </w:numPr>
      </w:pPr>
      <w:r>
        <w:rPr>
          <w:rFonts w:ascii="Aptos" w:hAnsi="Aptos"/>
          <w:color w:val="17212B"/>
          <w:sz w:val="20"/>
        </w:rPr>
        <w:t>Separate facts already verified from reported assumptions and unanswered decisions.</w:t>
      </w:r>
    </w:p>
    <w:p>
      <w:pPr>
        <w:spacing w:after="80" w:line="276" w:lineRule="auto"/>
        <w:numPr>
          <w:ilvl w:val="0"/>
          <w:numId w:val="11"/>
        </w:numPr>
      </w:pPr>
      <w:r>
        <w:rPr>
          <w:rFonts w:ascii="Aptos" w:hAnsi="Aptos"/>
          <w:color w:val="17212B"/>
          <w:sz w:val="20"/>
        </w:rPr>
        <w:t>Confirm what is in scope, what is parked, and what requires approval or specialist review.</w:t>
      </w:r>
    </w:p>
    <w:p>
      <w:pPr>
        <w:spacing w:after="80" w:line="276" w:lineRule="auto"/>
        <w:numPr>
          <w:ilvl w:val="0"/>
          <w:numId w:val="11"/>
        </w:numPr>
      </w:pPr>
      <w:r>
        <w:rPr>
          <w:rFonts w:ascii="Aptos" w:hAnsi="Aptos"/>
          <w:color w:val="17212B"/>
          <w:sz w:val="20"/>
        </w:rPr>
        <w:t>Record the next action and proof requirement in the controlling work record.</w:t>
      </w:r>
    </w:p>
    <w:p>
      <w:pPr>
        <w:pStyle w:val="Heading2"/>
      </w:pPr>
      <w:r>
        <w:t>4.3 Priority rule</w:t>
      </w:r>
    </w:p>
    <w:p>
      <w:pPr/>
      <w:r>
        <w:rPr>
          <w:rFonts w:ascii="Aptos" w:hAnsi="Aptos"/>
          <w:color w:val="17212B"/>
          <w:sz w:val="21"/>
        </w:rPr>
        <w:t>Prioritize work by dependency and decision window: protect people and data first; then unblock commitments and deadlines; then preserve revenue, assets, and evidence; then complete ordinary operating improvements. Do not confuse urgency created by an incomplete handoff with actual business priority.</w:t>
      </w:r>
    </w:p>
    <w:p>
      <w:pPr>
        <w:pStyle w:val="Heading2"/>
      </w:pPr>
      <w:r>
        <w:t>4.4 Operations control board</w:t>
      </w:r>
    </w:p>
    <w:p>
      <w:pPr/>
      <w:r>
        <w:rPr>
          <w:rFonts w:ascii="Aptos" w:hAnsi="Aptos"/>
          <w:color w:val="17212B"/>
          <w:sz w:val="21"/>
        </w:rPr>
        <w:t>The control board is the live status surface; it assigns work but does not create policy. Keep one row per outcome, not one row per message or subtask. Every active row must contain the fields below.</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100"/>
        <w:gridCol w:w="7260"/>
      </w:tblGrid>
      <w:tr>
        <w:trPr>
          <w:tblHeader w:val="true"/>
        </w:trPr>
        <w:tc>
          <w:tcPr>
            <w:tcW w:type="dxa" w:w="2100"/>
            <w:tcMar>
              <w:top w:w="100" w:type="dxa"/>
              <w:start w:w="120" w:type="dxa"/>
              <w:bottom w:w="100" w:type="dxa"/>
              <w:end w:w="120" w:type="dxa"/>
            </w:tcMar>
            <w:vAlign w:val="center"/>
            <w:shd w:fill="17365D"/>
          </w:tcPr>
          <w:p>
            <w:pPr>
              <w:spacing w:after="0"/>
              <w:ind w:left="0" w:firstLine="0"/>
            </w:pPr>
            <w:r>
              <w:rPr>
                <w:rFonts w:ascii="Aptos" w:hAnsi="Aptos"/>
                <w:b/>
                <w:color w:val="FFFFFF"/>
                <w:sz w:val="17"/>
              </w:rPr>
              <w:t>Board field</w:t>
            </w:r>
          </w:p>
        </w:tc>
        <w:tc>
          <w:tcPr>
            <w:tcW w:type="dxa" w:w="7260"/>
            <w:tcMar>
              <w:top w:w="100" w:type="dxa"/>
              <w:start w:w="120" w:type="dxa"/>
              <w:bottom w:w="100" w:type="dxa"/>
              <w:end w:w="120" w:type="dxa"/>
            </w:tcMar>
            <w:vAlign w:val="center"/>
            <w:shd w:fill="17365D"/>
          </w:tcPr>
          <w:p>
            <w:pPr>
              <w:spacing w:after="0"/>
              <w:ind w:left="0" w:firstLine="0"/>
            </w:pPr>
            <w:r>
              <w:rPr>
                <w:rFonts w:ascii="Aptos" w:hAnsi="Aptos"/>
                <w:b/>
                <w:color w:val="FFFFFF"/>
                <w:sz w:val="17"/>
              </w:rPr>
              <w:t>Rule</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7"/>
              </w:rPr>
              <w:t>Outcome / lane</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7"/>
              </w:rPr>
              <w:t>One visible result; use a separate lane only when ownership and completion evidence are independent.</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7"/>
              </w:rPr>
              <w:t>Entity / owner</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7"/>
              </w:rPr>
              <w:t>Accountable legal entity and one human owner.</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7"/>
              </w:rPr>
              <w:t>Source / state</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7"/>
              </w:rPr>
              <w:t>Controlling source and current truth state.</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7"/>
              </w:rPr>
              <w:t>Decision window</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7"/>
              </w:rPr>
              <w:t>Due date, event, expiration, cost exposure, or dependency.</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7"/>
              </w:rPr>
              <w:t>Next action</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7"/>
              </w:rPr>
              <w:t>Smallest physical action that materially changes the state.</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7"/>
              </w:rPr>
              <w:t>Gate / decision owner</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7"/>
              </w:rPr>
              <w:t>Exact approval, missing fact, professional conclusion, or external dependency.</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7"/>
              </w:rPr>
              <w:t>Proof</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7"/>
              </w:rPr>
              <w:t>Required evidence and approved return location.</w:t>
            </w:r>
          </w:p>
        </w:tc>
      </w:tr>
    </w:tbl>
    <w:p>
      <w:pPr>
        <w:spacing w:after="0" w:line="20" w:lineRule="exact"/>
      </w:pPr>
      <w:r>
        <w:rPr>
          <w:rFonts w:ascii="Aptos" w:hAnsi="Aptos"/>
          <w:color w:val="FFFFFF"/>
          <w:sz w:val="2"/>
        </w:rPr>
        <w:t xml:space="preserve"> </w:t>
      </w:r>
    </w:p>
    <w:p>
      <w:pPr>
        <w:pStyle w:val="Heading3"/>
      </w:pPr>
      <w:r>
        <w:t>Board states and allowed transitions</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1500"/>
        <w:gridCol w:w="5360"/>
        <w:gridCol w:w="2500"/>
      </w:tblGrid>
      <w:tr>
        <w:trPr>
          <w:tblHeader w:val="true"/>
        </w:trPr>
        <w:tc>
          <w:tcPr>
            <w:tcW w:type="dxa" w:w="1500"/>
            <w:tcMar>
              <w:top w:w="100" w:type="dxa"/>
              <w:start w:w="120" w:type="dxa"/>
              <w:bottom w:w="100" w:type="dxa"/>
              <w:end w:w="120" w:type="dxa"/>
            </w:tcMar>
            <w:vAlign w:val="center"/>
            <w:shd w:fill="17365D"/>
          </w:tcPr>
          <w:p>
            <w:pPr>
              <w:spacing w:after="0"/>
              <w:ind w:left="0" w:firstLine="0"/>
            </w:pPr>
            <w:r>
              <w:rPr>
                <w:rFonts w:ascii="Aptos" w:hAnsi="Aptos"/>
                <w:b/>
                <w:color w:val="FFFFFF"/>
                <w:sz w:val="16"/>
              </w:rPr>
              <w:t>State</w:t>
            </w:r>
          </w:p>
        </w:tc>
        <w:tc>
          <w:tcPr>
            <w:tcW w:type="dxa" w:w="5360"/>
            <w:tcMar>
              <w:top w:w="100" w:type="dxa"/>
              <w:start w:w="120" w:type="dxa"/>
              <w:bottom w:w="100" w:type="dxa"/>
              <w:end w:w="120" w:type="dxa"/>
            </w:tcMar>
            <w:vAlign w:val="center"/>
            <w:shd w:fill="17365D"/>
          </w:tcPr>
          <w:p>
            <w:pPr>
              <w:spacing w:after="0"/>
              <w:ind w:left="0" w:firstLine="0"/>
            </w:pPr>
            <w:r>
              <w:rPr>
                <w:rFonts w:ascii="Aptos" w:hAnsi="Aptos"/>
                <w:b/>
                <w:color w:val="FFFFFF"/>
                <w:sz w:val="16"/>
              </w:rPr>
              <w:t>Use only when</w:t>
            </w:r>
          </w:p>
        </w:tc>
        <w:tc>
          <w:tcPr>
            <w:tcW w:type="dxa" w:w="2500"/>
            <w:tcMar>
              <w:top w:w="100" w:type="dxa"/>
              <w:start w:w="120" w:type="dxa"/>
              <w:bottom w:w="100" w:type="dxa"/>
              <w:end w:w="120" w:type="dxa"/>
            </w:tcMar>
            <w:vAlign w:val="center"/>
            <w:shd w:fill="17365D"/>
          </w:tcPr>
          <w:p>
            <w:pPr>
              <w:spacing w:after="0"/>
              <w:ind w:left="0" w:firstLine="0"/>
            </w:pPr>
            <w:r>
              <w:rPr>
                <w:rFonts w:ascii="Aptos" w:hAnsi="Aptos"/>
                <w:b/>
                <w:color w:val="FFFFFF"/>
                <w:sz w:val="16"/>
              </w:rPr>
              <w:t>Next</w:t>
            </w:r>
          </w:p>
        </w:tc>
      </w:tr>
      <w:tr>
        <w:tc>
          <w:tcPr>
            <w:tcW w:type="dxa" w:w="1500"/>
            <w:tcMar>
              <w:top w:w="100" w:type="dxa"/>
              <w:start w:w="120" w:type="dxa"/>
              <w:bottom w:w="100" w:type="dxa"/>
              <w:end w:w="120" w:type="dxa"/>
            </w:tcMar>
            <w:vAlign w:val="center"/>
          </w:tcPr>
          <w:p>
            <w:pPr>
              <w:spacing w:after="0"/>
              <w:ind w:left="0" w:firstLine="0"/>
            </w:pPr>
            <w:r>
              <w:rPr>
                <w:rFonts w:ascii="Aptos" w:hAnsi="Aptos"/>
                <w:b w:val="0"/>
                <w:color w:val="17212B"/>
                <w:sz w:val="16"/>
              </w:rPr>
              <w:t>READY</w:t>
            </w:r>
          </w:p>
        </w:tc>
        <w:tc>
          <w:tcPr>
            <w:tcW w:type="dxa" w:w="5360"/>
            <w:tcMar>
              <w:top w:w="100" w:type="dxa"/>
              <w:start w:w="120" w:type="dxa"/>
              <w:bottom w:w="100" w:type="dxa"/>
              <w:end w:w="120" w:type="dxa"/>
            </w:tcMar>
            <w:vAlign w:val="center"/>
          </w:tcPr>
          <w:p>
            <w:pPr>
              <w:spacing w:after="0"/>
              <w:ind w:left="0" w:firstLine="0"/>
            </w:pPr>
            <w:r>
              <w:rPr>
                <w:rFonts w:ascii="Aptos" w:hAnsi="Aptos"/>
                <w:b w:val="0"/>
                <w:color w:val="17212B"/>
                <w:sz w:val="16"/>
              </w:rPr>
              <w:t>Source and next action are known; work may start within approved scope.</w:t>
            </w:r>
          </w:p>
        </w:tc>
        <w:tc>
          <w:tcPr>
            <w:tcW w:type="dxa" w:w="2500"/>
            <w:tcMar>
              <w:top w:w="100" w:type="dxa"/>
              <w:start w:w="120" w:type="dxa"/>
              <w:bottom w:w="100" w:type="dxa"/>
              <w:end w:w="120" w:type="dxa"/>
            </w:tcMar>
            <w:vAlign w:val="center"/>
          </w:tcPr>
          <w:p>
            <w:pPr>
              <w:spacing w:after="0"/>
              <w:ind w:left="0" w:firstLine="0"/>
            </w:pPr>
            <w:r>
              <w:rPr>
                <w:rFonts w:ascii="Aptos" w:hAnsi="Aptos"/>
                <w:b w:val="0"/>
                <w:color w:val="17212B"/>
                <w:sz w:val="16"/>
              </w:rPr>
              <w:t>IN PROGRESS / PARKED</w:t>
            </w:r>
          </w:p>
        </w:tc>
      </w:tr>
      <w:tr>
        <w:tc>
          <w:tcPr>
            <w:tcW w:type="dxa" w:w="1500"/>
            <w:tcMar>
              <w:top w:w="100" w:type="dxa"/>
              <w:start w:w="120" w:type="dxa"/>
              <w:bottom w:w="100" w:type="dxa"/>
              <w:end w:w="120" w:type="dxa"/>
            </w:tcMar>
            <w:vAlign w:val="center"/>
          </w:tcPr>
          <w:p>
            <w:pPr>
              <w:spacing w:after="0"/>
              <w:ind w:left="0" w:firstLine="0"/>
            </w:pPr>
            <w:r>
              <w:rPr>
                <w:rFonts w:ascii="Aptos" w:hAnsi="Aptos"/>
                <w:b w:val="0"/>
                <w:color w:val="17212B"/>
                <w:sz w:val="16"/>
              </w:rPr>
              <w:t>IN PROGRESS</w:t>
            </w:r>
          </w:p>
        </w:tc>
        <w:tc>
          <w:tcPr>
            <w:tcW w:type="dxa" w:w="5360"/>
            <w:tcMar>
              <w:top w:w="100" w:type="dxa"/>
              <w:start w:w="120" w:type="dxa"/>
              <w:bottom w:w="100" w:type="dxa"/>
              <w:end w:w="120" w:type="dxa"/>
            </w:tcMar>
            <w:vAlign w:val="center"/>
          </w:tcPr>
          <w:p>
            <w:pPr>
              <w:spacing w:after="0"/>
              <w:ind w:left="0" w:firstLine="0"/>
            </w:pPr>
            <w:r>
              <w:rPr>
                <w:rFonts w:ascii="Aptos" w:hAnsi="Aptos"/>
                <w:b w:val="0"/>
                <w:color w:val="17212B"/>
                <w:sz w:val="16"/>
              </w:rPr>
              <w:t>Owner is actively producing the next result.</w:t>
            </w:r>
          </w:p>
        </w:tc>
        <w:tc>
          <w:tcPr>
            <w:tcW w:type="dxa" w:w="2500"/>
            <w:tcMar>
              <w:top w:w="100" w:type="dxa"/>
              <w:start w:w="120" w:type="dxa"/>
              <w:bottom w:w="100" w:type="dxa"/>
              <w:end w:w="120" w:type="dxa"/>
            </w:tcMar>
            <w:vAlign w:val="center"/>
          </w:tcPr>
          <w:p>
            <w:pPr>
              <w:spacing w:after="0"/>
              <w:ind w:left="0" w:firstLine="0"/>
            </w:pPr>
            <w:r>
              <w:rPr>
                <w:rFonts w:ascii="Aptos" w:hAnsi="Aptos"/>
                <w:b w:val="0"/>
                <w:color w:val="17212B"/>
                <w:sz w:val="16"/>
              </w:rPr>
              <w:t>REVIEW / WAITING / BLOCKED</w:t>
            </w:r>
          </w:p>
        </w:tc>
      </w:tr>
      <w:tr>
        <w:tc>
          <w:tcPr>
            <w:tcW w:type="dxa" w:w="1500"/>
            <w:tcMar>
              <w:top w:w="100" w:type="dxa"/>
              <w:start w:w="120" w:type="dxa"/>
              <w:bottom w:w="100" w:type="dxa"/>
              <w:end w:w="120" w:type="dxa"/>
            </w:tcMar>
            <w:vAlign w:val="center"/>
          </w:tcPr>
          <w:p>
            <w:pPr>
              <w:spacing w:after="0"/>
              <w:ind w:left="0" w:firstLine="0"/>
            </w:pPr>
            <w:r>
              <w:rPr>
                <w:rFonts w:ascii="Aptos" w:hAnsi="Aptos"/>
                <w:b w:val="0"/>
                <w:color w:val="17212B"/>
                <w:sz w:val="16"/>
              </w:rPr>
              <w:t>REVIEW</w:t>
            </w:r>
          </w:p>
        </w:tc>
        <w:tc>
          <w:tcPr>
            <w:tcW w:type="dxa" w:w="5360"/>
            <w:tcMar>
              <w:top w:w="100" w:type="dxa"/>
              <w:start w:w="120" w:type="dxa"/>
              <w:bottom w:w="100" w:type="dxa"/>
              <w:end w:w="120" w:type="dxa"/>
            </w:tcMar>
            <w:vAlign w:val="center"/>
          </w:tcPr>
          <w:p>
            <w:pPr>
              <w:spacing w:after="0"/>
              <w:ind w:left="0" w:firstLine="0"/>
            </w:pPr>
            <w:r>
              <w:rPr>
                <w:rFonts w:ascii="Aptos" w:hAnsi="Aptos"/>
                <w:b w:val="0"/>
                <w:color w:val="17212B"/>
                <w:sz w:val="16"/>
              </w:rPr>
              <w:t>Candidate exists; QA, decision, or professional confirmation is pending.</w:t>
            </w:r>
          </w:p>
        </w:tc>
        <w:tc>
          <w:tcPr>
            <w:tcW w:type="dxa" w:w="2500"/>
            <w:tcMar>
              <w:top w:w="100" w:type="dxa"/>
              <w:start w:w="120" w:type="dxa"/>
              <w:bottom w:w="100" w:type="dxa"/>
              <w:end w:w="120" w:type="dxa"/>
            </w:tcMar>
            <w:vAlign w:val="center"/>
          </w:tcPr>
          <w:p>
            <w:pPr>
              <w:spacing w:after="0"/>
              <w:ind w:left="0" w:firstLine="0"/>
            </w:pPr>
            <w:r>
              <w:rPr>
                <w:rFonts w:ascii="Aptos" w:hAnsi="Aptos"/>
                <w:b w:val="0"/>
                <w:color w:val="17212B"/>
                <w:sz w:val="16"/>
              </w:rPr>
              <w:t>APPROVAL / IN PROGRESS</w:t>
            </w:r>
          </w:p>
        </w:tc>
      </w:tr>
      <w:tr>
        <w:tc>
          <w:tcPr>
            <w:tcW w:type="dxa" w:w="1500"/>
            <w:tcMar>
              <w:top w:w="100" w:type="dxa"/>
              <w:start w:w="120" w:type="dxa"/>
              <w:bottom w:w="100" w:type="dxa"/>
              <w:end w:w="120" w:type="dxa"/>
            </w:tcMar>
            <w:vAlign w:val="center"/>
          </w:tcPr>
          <w:p>
            <w:pPr>
              <w:spacing w:after="0"/>
              <w:ind w:left="0" w:firstLine="0"/>
            </w:pPr>
            <w:r>
              <w:rPr>
                <w:rFonts w:ascii="Aptos" w:hAnsi="Aptos"/>
                <w:b w:val="0"/>
                <w:color w:val="17212B"/>
                <w:sz w:val="16"/>
              </w:rPr>
              <w:t>APPROVAL</w:t>
            </w:r>
          </w:p>
        </w:tc>
        <w:tc>
          <w:tcPr>
            <w:tcW w:type="dxa" w:w="5360"/>
            <w:tcMar>
              <w:top w:w="100" w:type="dxa"/>
              <w:start w:w="120" w:type="dxa"/>
              <w:bottom w:w="100" w:type="dxa"/>
              <w:end w:w="120" w:type="dxa"/>
            </w:tcMar>
            <w:vAlign w:val="center"/>
          </w:tcPr>
          <w:p>
            <w:pPr>
              <w:spacing w:after="0"/>
              <w:ind w:left="0" w:firstLine="0"/>
            </w:pPr>
            <w:r>
              <w:rPr>
                <w:rFonts w:ascii="Aptos" w:hAnsi="Aptos"/>
                <w:b w:val="0"/>
                <w:color w:val="17212B"/>
                <w:sz w:val="16"/>
              </w:rPr>
              <w:t>Exact consequential action is ready for the named decision owner.</w:t>
            </w:r>
          </w:p>
        </w:tc>
        <w:tc>
          <w:tcPr>
            <w:tcW w:type="dxa" w:w="2500"/>
            <w:tcMar>
              <w:top w:w="100" w:type="dxa"/>
              <w:start w:w="120" w:type="dxa"/>
              <w:bottom w:w="100" w:type="dxa"/>
              <w:end w:w="120" w:type="dxa"/>
            </w:tcMar>
            <w:vAlign w:val="center"/>
          </w:tcPr>
          <w:p>
            <w:pPr>
              <w:spacing w:after="0"/>
              <w:ind w:left="0" w:firstLine="0"/>
            </w:pPr>
            <w:r>
              <w:rPr>
                <w:rFonts w:ascii="Aptos" w:hAnsi="Aptos"/>
                <w:b w:val="0"/>
                <w:color w:val="17212B"/>
                <w:sz w:val="16"/>
              </w:rPr>
              <w:t>IN PROGRESS / PARKED</w:t>
            </w:r>
          </w:p>
        </w:tc>
      </w:tr>
      <w:tr>
        <w:tc>
          <w:tcPr>
            <w:tcW w:type="dxa" w:w="1500"/>
            <w:tcMar>
              <w:top w:w="100" w:type="dxa"/>
              <w:start w:w="120" w:type="dxa"/>
              <w:bottom w:w="100" w:type="dxa"/>
              <w:end w:w="120" w:type="dxa"/>
            </w:tcMar>
            <w:vAlign w:val="center"/>
          </w:tcPr>
          <w:p>
            <w:pPr>
              <w:spacing w:after="0"/>
              <w:ind w:left="0" w:firstLine="0"/>
            </w:pPr>
            <w:r>
              <w:rPr>
                <w:rFonts w:ascii="Aptos" w:hAnsi="Aptos"/>
                <w:b w:val="0"/>
                <w:color w:val="17212B"/>
                <w:sz w:val="16"/>
              </w:rPr>
              <w:t>WAITING</w:t>
            </w:r>
          </w:p>
        </w:tc>
        <w:tc>
          <w:tcPr>
            <w:tcW w:type="dxa" w:w="5360"/>
            <w:tcMar>
              <w:top w:w="100" w:type="dxa"/>
              <w:start w:w="120" w:type="dxa"/>
              <w:bottom w:w="100" w:type="dxa"/>
              <w:end w:w="120" w:type="dxa"/>
            </w:tcMar>
            <w:vAlign w:val="center"/>
          </w:tcPr>
          <w:p>
            <w:pPr>
              <w:spacing w:after="0"/>
              <w:ind w:left="0" w:firstLine="0"/>
            </w:pPr>
            <w:r>
              <w:rPr>
                <w:rFonts w:ascii="Aptos" w:hAnsi="Aptos"/>
                <w:b w:val="0"/>
                <w:color w:val="17212B"/>
                <w:sz w:val="16"/>
              </w:rPr>
              <w:t>A named external response or ordinary dependency is pending; follow-up date is set.</w:t>
            </w:r>
          </w:p>
        </w:tc>
        <w:tc>
          <w:tcPr>
            <w:tcW w:type="dxa" w:w="2500"/>
            <w:tcMar>
              <w:top w:w="100" w:type="dxa"/>
              <w:start w:w="120" w:type="dxa"/>
              <w:bottom w:w="100" w:type="dxa"/>
              <w:end w:w="120" w:type="dxa"/>
            </w:tcMar>
            <w:vAlign w:val="center"/>
          </w:tcPr>
          <w:p>
            <w:pPr>
              <w:spacing w:after="0"/>
              <w:ind w:left="0" w:firstLine="0"/>
            </w:pPr>
            <w:r>
              <w:rPr>
                <w:rFonts w:ascii="Aptos" w:hAnsi="Aptos"/>
                <w:b w:val="0"/>
                <w:color w:val="17212B"/>
                <w:sz w:val="16"/>
              </w:rPr>
              <w:t>READY / BLOCKED</w:t>
            </w:r>
          </w:p>
        </w:tc>
      </w:tr>
      <w:tr>
        <w:tc>
          <w:tcPr>
            <w:tcW w:type="dxa" w:w="1500"/>
            <w:tcMar>
              <w:top w:w="100" w:type="dxa"/>
              <w:start w:w="120" w:type="dxa"/>
              <w:bottom w:w="100" w:type="dxa"/>
              <w:end w:w="120" w:type="dxa"/>
            </w:tcMar>
            <w:vAlign w:val="center"/>
          </w:tcPr>
          <w:p>
            <w:pPr>
              <w:spacing w:after="0"/>
              <w:ind w:left="0" w:firstLine="0"/>
            </w:pPr>
            <w:r>
              <w:rPr>
                <w:rFonts w:ascii="Aptos" w:hAnsi="Aptos"/>
                <w:b w:val="0"/>
                <w:color w:val="17212B"/>
                <w:sz w:val="16"/>
              </w:rPr>
              <w:t>BLOCKED</w:t>
            </w:r>
          </w:p>
        </w:tc>
        <w:tc>
          <w:tcPr>
            <w:tcW w:type="dxa" w:w="5360"/>
            <w:tcMar>
              <w:top w:w="100" w:type="dxa"/>
              <w:start w:w="120" w:type="dxa"/>
              <w:bottom w:w="100" w:type="dxa"/>
              <w:end w:w="120" w:type="dxa"/>
            </w:tcMar>
            <w:vAlign w:val="center"/>
          </w:tcPr>
          <w:p>
            <w:pPr>
              <w:spacing w:after="0"/>
              <w:ind w:left="0" w:firstLine="0"/>
            </w:pPr>
            <w:r>
              <w:rPr>
                <w:rFonts w:ascii="Aptos" w:hAnsi="Aptos"/>
                <w:b w:val="0"/>
                <w:color w:val="17212B"/>
                <w:sz w:val="16"/>
              </w:rPr>
              <w:t>A specific missing input prevents meaningful work; owner and unblock action are named.</w:t>
            </w:r>
          </w:p>
        </w:tc>
        <w:tc>
          <w:tcPr>
            <w:tcW w:type="dxa" w:w="2500"/>
            <w:tcMar>
              <w:top w:w="100" w:type="dxa"/>
              <w:start w:w="120" w:type="dxa"/>
              <w:bottom w:w="100" w:type="dxa"/>
              <w:end w:w="120" w:type="dxa"/>
            </w:tcMar>
            <w:vAlign w:val="center"/>
          </w:tcPr>
          <w:p>
            <w:pPr>
              <w:spacing w:after="0"/>
              <w:ind w:left="0" w:firstLine="0"/>
            </w:pPr>
            <w:r>
              <w:rPr>
                <w:rFonts w:ascii="Aptos" w:hAnsi="Aptos"/>
                <w:b w:val="0"/>
                <w:color w:val="17212B"/>
                <w:sz w:val="16"/>
              </w:rPr>
              <w:t>READY / PARKED</w:t>
            </w:r>
          </w:p>
        </w:tc>
      </w:tr>
      <w:tr>
        <w:tc>
          <w:tcPr>
            <w:tcW w:type="dxa" w:w="1500"/>
            <w:tcMar>
              <w:top w:w="100" w:type="dxa"/>
              <w:start w:w="120" w:type="dxa"/>
              <w:bottom w:w="100" w:type="dxa"/>
              <w:end w:w="120" w:type="dxa"/>
            </w:tcMar>
            <w:vAlign w:val="center"/>
          </w:tcPr>
          <w:p>
            <w:pPr>
              <w:spacing w:after="0"/>
              <w:ind w:left="0" w:firstLine="0"/>
            </w:pPr>
            <w:r>
              <w:rPr>
                <w:rFonts w:ascii="Aptos" w:hAnsi="Aptos"/>
                <w:b w:val="0"/>
                <w:color w:val="17212B"/>
                <w:sz w:val="16"/>
              </w:rPr>
              <w:t>DONE</w:t>
            </w:r>
          </w:p>
        </w:tc>
        <w:tc>
          <w:tcPr>
            <w:tcW w:type="dxa" w:w="5360"/>
            <w:tcMar>
              <w:top w:w="100" w:type="dxa"/>
              <w:start w:w="120" w:type="dxa"/>
              <w:bottom w:w="100" w:type="dxa"/>
              <w:end w:w="120" w:type="dxa"/>
            </w:tcMar>
            <w:vAlign w:val="center"/>
          </w:tcPr>
          <w:p>
            <w:pPr>
              <w:spacing w:after="0"/>
              <w:ind w:left="0" w:firstLine="0"/>
            </w:pPr>
            <w:r>
              <w:rPr>
                <w:rFonts w:ascii="Aptos" w:hAnsi="Aptos"/>
                <w:b w:val="0"/>
                <w:color w:val="17212B"/>
                <w:sz w:val="16"/>
              </w:rPr>
              <w:t>Completion test passed and proof was returned.</w:t>
            </w:r>
          </w:p>
        </w:tc>
        <w:tc>
          <w:tcPr>
            <w:tcW w:type="dxa" w:w="2500"/>
            <w:tcMar>
              <w:top w:w="100" w:type="dxa"/>
              <w:start w:w="120" w:type="dxa"/>
              <w:bottom w:w="100" w:type="dxa"/>
              <w:end w:w="120" w:type="dxa"/>
            </w:tcMar>
            <w:vAlign w:val="center"/>
          </w:tcPr>
          <w:p>
            <w:pPr>
              <w:spacing w:after="0"/>
              <w:ind w:left="0" w:firstLine="0"/>
            </w:pPr>
            <w:r>
              <w:rPr>
                <w:rFonts w:ascii="Aptos" w:hAnsi="Aptos"/>
                <w:b w:val="0"/>
                <w:color w:val="17212B"/>
                <w:sz w:val="16"/>
              </w:rPr>
              <w:t>Reopen only with a recorded discrepancy or changed requirement</w:t>
            </w:r>
          </w:p>
        </w:tc>
      </w:tr>
      <w:tr>
        <w:tc>
          <w:tcPr>
            <w:tcW w:type="dxa" w:w="1500"/>
            <w:tcMar>
              <w:top w:w="100" w:type="dxa"/>
              <w:start w:w="120" w:type="dxa"/>
              <w:bottom w:w="100" w:type="dxa"/>
              <w:end w:w="120" w:type="dxa"/>
            </w:tcMar>
            <w:vAlign w:val="center"/>
          </w:tcPr>
          <w:p>
            <w:pPr>
              <w:spacing w:after="0"/>
              <w:ind w:left="0" w:firstLine="0"/>
            </w:pPr>
            <w:r>
              <w:rPr>
                <w:rFonts w:ascii="Aptos" w:hAnsi="Aptos"/>
                <w:b w:val="0"/>
                <w:color w:val="17212B"/>
                <w:sz w:val="16"/>
              </w:rPr>
              <w:t>PARKED</w:t>
            </w:r>
          </w:p>
        </w:tc>
        <w:tc>
          <w:tcPr>
            <w:tcW w:type="dxa" w:w="5360"/>
            <w:tcMar>
              <w:top w:w="100" w:type="dxa"/>
              <w:start w:w="120" w:type="dxa"/>
              <w:bottom w:w="100" w:type="dxa"/>
              <w:end w:w="120" w:type="dxa"/>
            </w:tcMar>
            <w:vAlign w:val="center"/>
          </w:tcPr>
          <w:p>
            <w:pPr>
              <w:spacing w:after="0"/>
              <w:ind w:left="0" w:firstLine="0"/>
            </w:pPr>
            <w:r>
              <w:rPr>
                <w:rFonts w:ascii="Aptos" w:hAnsi="Aptos"/>
                <w:b w:val="0"/>
                <w:color w:val="17212B"/>
                <w:sz w:val="16"/>
              </w:rPr>
              <w:t>Intentionally inactive; reason and restart condition are recorded.</w:t>
            </w:r>
          </w:p>
        </w:tc>
        <w:tc>
          <w:tcPr>
            <w:tcW w:type="dxa" w:w="2500"/>
            <w:tcMar>
              <w:top w:w="100" w:type="dxa"/>
              <w:start w:w="120" w:type="dxa"/>
              <w:bottom w:w="100" w:type="dxa"/>
              <w:end w:w="120" w:type="dxa"/>
            </w:tcMar>
            <w:vAlign w:val="center"/>
          </w:tcPr>
          <w:p>
            <w:pPr>
              <w:spacing w:after="0"/>
              <w:ind w:left="0" w:firstLine="0"/>
            </w:pPr>
            <w:r>
              <w:rPr>
                <w:rFonts w:ascii="Aptos" w:hAnsi="Aptos"/>
                <w:b w:val="0"/>
                <w:color w:val="17212B"/>
                <w:sz w:val="16"/>
              </w:rPr>
              <w:t>READY</w:t>
            </w:r>
          </w:p>
        </w:tc>
      </w:tr>
    </w:tbl>
    <w:p>
      <w:pPr>
        <w:spacing w:after="0" w:line="20" w:lineRule="exact"/>
      </w:pPr>
      <w:r>
        <w:rPr>
          <w:rFonts w:ascii="Aptos" w:hAnsi="Aptos"/>
          <w:color w:val="FFFFFF"/>
          <w:sz w:val="2"/>
        </w:rPr>
        <w:t xml:space="preserve"> </w:t>
      </w:r>
    </w:p>
    <w:p>
      <w:pPr>
        <w:pStyle w:val="Heading1"/>
        <w:pageBreakBefore/>
      </w:pPr>
      <w:r>
        <w:t>5. Standard Work Execution</w:t>
      </w:r>
    </w:p>
    <w:p>
      <w:pPr>
        <w:pStyle w:val="Heading2"/>
      </w:pPr>
      <w:r>
        <w:t>5.1 Plan only to the level needed</w:t>
      </w:r>
    </w:p>
    <w:p>
      <w:pPr/>
      <w:r>
        <w:rPr>
          <w:rFonts w:ascii="Aptos" w:hAnsi="Aptos"/>
          <w:color w:val="17212B"/>
          <w:sz w:val="21"/>
        </w:rPr>
        <w:t>Use a short plan for multi-step work. The plan should identify the source, affected downstream consumers, verification method, and approval gate. Do not create duplicate versions, parallel owners, or new systems when the current source can be repaired or extended safely.</w:t>
      </w:r>
    </w:p>
    <w:p>
      <w:pPr>
        <w:pStyle w:val="Heading2"/>
      </w:pPr>
      <w:r>
        <w:t>5.2 Prepare non-destructively</w:t>
      </w:r>
    </w:p>
    <w:p>
      <w:pPr>
        <w:pStyle w:val="ListBullet"/>
      </w:pPr>
      <w:r>
        <w:rPr>
          <w:rFonts w:ascii="Aptos" w:hAnsi="Aptos"/>
          <w:color w:val="17212B"/>
          <w:sz w:val="20"/>
        </w:rPr>
        <w:t>Preserve originals and create revisions separately.</w:t>
      </w:r>
    </w:p>
    <w:p>
      <w:pPr>
        <w:pStyle w:val="ListBullet"/>
      </w:pPr>
      <w:r>
        <w:rPr>
          <w:rFonts w:ascii="Aptos" w:hAnsi="Aptos"/>
          <w:color w:val="17212B"/>
          <w:sz w:val="20"/>
        </w:rPr>
        <w:t>Keep one current review candidate; mark older versions historical or superseded.</w:t>
      </w:r>
    </w:p>
    <w:p>
      <w:pPr>
        <w:pStyle w:val="ListBullet"/>
      </w:pPr>
      <w:r>
        <w:rPr>
          <w:rFonts w:ascii="Aptos" w:hAnsi="Aptos"/>
          <w:color w:val="17212B"/>
          <w:sz w:val="20"/>
        </w:rPr>
        <w:t>Use reversible, local preparation until external action is approved.</w:t>
      </w:r>
    </w:p>
    <w:p>
      <w:pPr>
        <w:pStyle w:val="ListBullet"/>
      </w:pPr>
      <w:r>
        <w:rPr>
          <w:rFonts w:ascii="Aptos" w:hAnsi="Aptos"/>
          <w:color w:val="17212B"/>
          <w:sz w:val="20"/>
        </w:rPr>
        <w:t>Do not insert secrets, personal identifiers, credentials, or bank details into working notes or ordinary chat.</w:t>
      </w:r>
    </w:p>
    <w:p>
      <w:pPr>
        <w:pStyle w:val="ListBullet"/>
      </w:pPr>
      <w:r>
        <w:rPr>
          <w:rFonts w:ascii="Aptos" w:hAnsi="Aptos"/>
          <w:color w:val="17212B"/>
          <w:sz w:val="20"/>
        </w:rPr>
        <w:t>Use the least costly reliable method; reuse verified work and templates.</w:t>
      </w:r>
    </w:p>
    <w:p>
      <w:pPr>
        <w:pStyle w:val="Heading2"/>
      </w:pPr>
      <w:r>
        <w:t>5.3 Review in the use format</w:t>
      </w:r>
    </w:p>
    <w:p>
      <w:pPr/>
      <w:r>
        <w:rPr>
          <w:rFonts w:ascii="Aptos" w:hAnsi="Aptos"/>
          <w:color w:val="17212B"/>
          <w:sz w:val="21"/>
        </w:rPr>
        <w:t>A document is reviewed as a rendered document, a website as a local or public page, a spreadsheet through formula and value checks, a system change through provider readback, and a communication as the exact final message with recipients and attachments. Structural checks alone are not a substitute for the real-use view.</w:t>
      </w:r>
    </w:p>
    <w:p>
      <w:pPr>
        <w:pStyle w:val="Heading2"/>
      </w:pPr>
      <w:r>
        <w:t>5.4 Approval packet</w:t>
      </w:r>
    </w:p>
    <w:p>
      <w:pPr>
        <w:pStyle w:val="Checklist"/>
      </w:pPr>
      <w:r>
        <w:rPr>
          <w:rFonts w:ascii="Arial" w:hAnsi="Arial"/>
          <w:color w:val="2E74B5"/>
          <w:sz w:val="21"/>
        </w:rPr>
        <w:t xml:space="preserve">☐  </w:t>
      </w:r>
      <w:r>
        <w:rPr>
          <w:rFonts w:ascii="Aptos" w:hAnsi="Aptos"/>
          <w:color w:val="17212B"/>
          <w:sz w:val="20"/>
        </w:rPr>
        <w:t>Exact action and entity are named.</w:t>
      </w:r>
    </w:p>
    <w:p>
      <w:pPr>
        <w:pStyle w:val="Checklist"/>
      </w:pPr>
      <w:r>
        <w:rPr>
          <w:rFonts w:ascii="Arial" w:hAnsi="Arial"/>
          <w:color w:val="2E74B5"/>
          <w:sz w:val="21"/>
        </w:rPr>
        <w:t xml:space="preserve">☐  </w:t>
      </w:r>
      <w:r>
        <w:rPr>
          <w:rFonts w:ascii="Aptos" w:hAnsi="Aptos"/>
          <w:color w:val="17212B"/>
          <w:sz w:val="20"/>
        </w:rPr>
        <w:t>Final content, cost, terms, destination, recipients, or target are attached or quoted.</w:t>
      </w:r>
    </w:p>
    <w:p>
      <w:pPr>
        <w:pStyle w:val="Checklist"/>
      </w:pPr>
      <w:r>
        <w:rPr>
          <w:rFonts w:ascii="Arial" w:hAnsi="Arial"/>
          <w:color w:val="2E74B5"/>
          <w:sz w:val="21"/>
        </w:rPr>
        <w:t xml:space="preserve">☐  </w:t>
      </w:r>
      <w:r>
        <w:rPr>
          <w:rFonts w:ascii="Aptos" w:hAnsi="Aptos"/>
          <w:color w:val="17212B"/>
          <w:sz w:val="20"/>
        </w:rPr>
        <w:t>Material risks, conflicts, unavailable sources, and professional-review needs are stated.</w:t>
      </w:r>
    </w:p>
    <w:p>
      <w:pPr>
        <w:pStyle w:val="Checklist"/>
      </w:pPr>
      <w:r>
        <w:rPr>
          <w:rFonts w:ascii="Arial" w:hAnsi="Arial"/>
          <w:color w:val="2E74B5"/>
          <w:sz w:val="21"/>
        </w:rPr>
        <w:t xml:space="preserve">☐  </w:t>
      </w:r>
      <w:r>
        <w:rPr>
          <w:rFonts w:ascii="Aptos" w:hAnsi="Aptos"/>
          <w:color w:val="17212B"/>
          <w:sz w:val="20"/>
        </w:rPr>
        <w:t>The approver can answer approve, revise, or decline without reconstructing the work.</w:t>
      </w:r>
    </w:p>
    <w:p>
      <w:pPr>
        <w:pStyle w:val="Checklist"/>
      </w:pPr>
      <w:r>
        <w:rPr>
          <w:rFonts w:ascii="Arial" w:hAnsi="Arial"/>
          <w:color w:val="2E74B5"/>
          <w:sz w:val="21"/>
        </w:rPr>
        <w:t xml:space="preserve">☐  </w:t>
      </w:r>
      <w:r>
        <w:rPr>
          <w:rFonts w:ascii="Aptos" w:hAnsi="Aptos"/>
          <w:color w:val="17212B"/>
          <w:sz w:val="20"/>
        </w:rPr>
        <w:t>The execution and verification steps are ready but have not crossed the approval boundary.</w:t>
      </w:r>
    </w:p>
    <w:p>
      <w:pPr>
        <w:pStyle w:val="Heading2"/>
      </w:pPr>
      <w:r>
        <w:t>5.5 Execute and verify</w:t>
      </w:r>
    </w:p>
    <w:p>
      <w:pPr/>
      <w:r>
        <w:rPr>
          <w:rFonts w:ascii="Aptos" w:hAnsi="Aptos"/>
          <w:color w:val="17212B"/>
          <w:sz w:val="21"/>
        </w:rPr>
        <w:t>After approval, the authorized person executes the exact action. Immediately verify the result using an independent readback or receipt. Record what happened, when, by whom, for which entity, under which approval, and where the proof is stored. If the result differs, record the discrepancy and reopen the item.</w:t>
      </w:r>
    </w:p>
    <w:p>
      <w:pPr>
        <w:pStyle w:val="Heading2"/>
        <w:pageBreakBefore/>
      </w:pPr>
      <w:r>
        <w:t>5.6 Decision-ready brief</w:t>
      </w:r>
    </w:p>
    <w:p>
      <w:pPr/>
      <w:r>
        <w:rPr>
          <w:rFonts w:ascii="Aptos" w:hAnsi="Aptos"/>
          <w:color w:val="17212B"/>
          <w:sz w:val="21"/>
        </w:rPr>
        <w:t>A decision brief is ready when the decision owner can act without reconstructing the file history. Use the following order:</w:t>
      </w:r>
    </w:p>
    <w:p>
      <w:pPr>
        <w:spacing w:after="80" w:line="276" w:lineRule="auto"/>
        <w:numPr>
          <w:ilvl w:val="0"/>
          <w:numId w:val="12"/>
        </w:numPr>
      </w:pPr>
      <w:r>
        <w:rPr>
          <w:rFonts w:ascii="Aptos" w:hAnsi="Aptos"/>
          <w:color w:val="17212B"/>
          <w:sz w:val="20"/>
        </w:rPr>
        <w:t>Decision requested — one sentence naming the action, entity, and deadline.</w:t>
      </w:r>
    </w:p>
    <w:p>
      <w:pPr>
        <w:spacing w:after="80" w:line="276" w:lineRule="auto"/>
        <w:numPr>
          <w:ilvl w:val="0"/>
          <w:numId w:val="12"/>
        </w:numPr>
      </w:pPr>
      <w:r>
        <w:rPr>
          <w:rFonts w:ascii="Aptos" w:hAnsi="Aptos"/>
          <w:color w:val="17212B"/>
          <w:sz w:val="20"/>
        </w:rPr>
        <w:t>Recommendation — the proposed choice and why it best meets the outcome and constraints.</w:t>
      </w:r>
    </w:p>
    <w:p>
      <w:pPr>
        <w:spacing w:after="80" w:line="276" w:lineRule="auto"/>
        <w:numPr>
          <w:ilvl w:val="0"/>
          <w:numId w:val="12"/>
        </w:numPr>
      </w:pPr>
      <w:r>
        <w:rPr>
          <w:rFonts w:ascii="Aptos" w:hAnsi="Aptos"/>
          <w:color w:val="17212B"/>
          <w:sz w:val="20"/>
        </w:rPr>
        <w:t>Verified basis — controlling sources, current facts, and the date checked.</w:t>
      </w:r>
    </w:p>
    <w:p>
      <w:pPr>
        <w:spacing w:after="80" w:line="276" w:lineRule="auto"/>
        <w:numPr>
          <w:ilvl w:val="0"/>
          <w:numId w:val="12"/>
        </w:numPr>
      </w:pPr>
      <w:r>
        <w:rPr>
          <w:rFonts w:ascii="Aptos" w:hAnsi="Aptos"/>
          <w:color w:val="17212B"/>
          <w:sz w:val="20"/>
        </w:rPr>
        <w:t>Options and tradeoffs — only materially different choices; include cost, time, reversibility, downstream effects, and risk.</w:t>
      </w:r>
    </w:p>
    <w:p>
      <w:pPr>
        <w:spacing w:after="80" w:line="276" w:lineRule="auto"/>
        <w:numPr>
          <w:ilvl w:val="0"/>
          <w:numId w:val="12"/>
        </w:numPr>
      </w:pPr>
      <w:r>
        <w:rPr>
          <w:rFonts w:ascii="Aptos" w:hAnsi="Aptos"/>
          <w:color w:val="17212B"/>
          <w:sz w:val="20"/>
        </w:rPr>
        <w:t>Open uncertainty — unavailable sources, assumptions, conflicts, or professional questions that could change the choice.</w:t>
      </w:r>
    </w:p>
    <w:p>
      <w:pPr>
        <w:spacing w:after="80" w:line="276" w:lineRule="auto"/>
        <w:numPr>
          <w:ilvl w:val="0"/>
          <w:numId w:val="12"/>
        </w:numPr>
      </w:pPr>
      <w:r>
        <w:rPr>
          <w:rFonts w:ascii="Aptos" w:hAnsi="Aptos"/>
          <w:color w:val="17212B"/>
          <w:sz w:val="20"/>
        </w:rPr>
        <w:t>Execution package — exact content, amount, terms, destination, owner, verification method, and rollback or recovery path.</w:t>
      </w:r>
    </w:p>
    <w:tbl>
      <w:tblPr>
        <w:tblW w:type="dxa" w:w="9360"/>
        <w:jc w:val="left"/>
        <w:tblLayout w:type="fixed"/>
        <w:tblLook w:firstColumn="1" w:firstRow="1" w:lastColumn="0" w:lastRow="0" w:noHBand="0" w:noVBand="1" w:val="04A0"/>
        <w:tblInd w:w="120" w:type="dxa"/>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Pr>
      <w:tblGrid>
        <w:gridCol w:w="9360"/>
      </w:tblGrid>
      <w:tr>
        <w:trPr>
          <w:tblHeader w:val="true"/>
        </w:trPr>
        <w:tc>
          <w:tcPr>
            <w:tcW w:type="dxa" w:w="9360"/>
            <w:tcMar>
              <w:top w:w="130" w:type="dxa"/>
              <w:start w:w="180" w:type="dxa"/>
              <w:bottom w:w="130" w:type="dxa"/>
              <w:end w:w="180" w:type="dxa"/>
            </w:tcMar>
            <w:vAlign w:val="center"/>
            <w:shd w:fill="E8EEF5"/>
          </w:tcPr>
          <w:p>
            <w:pPr>
              <w:spacing w:after="0"/>
            </w:pPr>
            <w:r>
              <w:rPr>
                <w:rFonts w:ascii="Aptos" w:hAnsi="Aptos"/>
                <w:b/>
                <w:color w:val="17365D"/>
                <w:sz w:val="19"/>
              </w:rPr>
              <w:t xml:space="preserve">ESCALATE DECISIONS, NOT RAW ACTIVITY  </w:t>
            </w:r>
            <w:r>
              <w:rPr>
                <w:rFonts w:ascii="Aptos" w:hAnsi="Aptos"/>
                <w:color w:val="17212B"/>
                <w:sz w:val="19"/>
              </w:rPr>
              <w:t>Do not send the owner a pile of links, drafts, or unresolved notes when the work can be reduced to a supported recommendation and an exact approval request.</w:t>
            </w:r>
          </w:p>
        </w:tc>
      </w:tr>
    </w:tbl>
    <w:p>
      <w:pPr>
        <w:spacing w:after="20"/>
      </w:pPr>
    </w:p>
    <w:p>
      <w:pPr>
        <w:pStyle w:val="Heading1"/>
        <w:pageBreakBefore/>
      </w:pPr>
      <w:r>
        <w:t>6. Operating Cadence and Handoffs</w:t>
      </w:r>
    </w:p>
    <w:p>
      <w:pPr>
        <w:pStyle w:val="Heading2"/>
      </w:pPr>
      <w:r>
        <w:t>6.1 Weekly cadence</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100"/>
        <w:gridCol w:w="7260"/>
      </w:tblGrid>
      <w:tr>
        <w:trPr>
          <w:tblHeader w:val="true"/>
        </w:trPr>
        <w:tc>
          <w:tcPr>
            <w:tcW w:type="dxa" w:w="2100"/>
            <w:tcMar>
              <w:top w:w="100" w:type="dxa"/>
              <w:start w:w="120" w:type="dxa"/>
              <w:bottom w:w="100" w:type="dxa"/>
              <w:end w:w="120" w:type="dxa"/>
            </w:tcMar>
            <w:vAlign w:val="center"/>
            <w:shd w:fill="17365D"/>
          </w:tcPr>
          <w:p>
            <w:pPr>
              <w:spacing w:after="0"/>
              <w:ind w:left="0" w:firstLine="0"/>
            </w:pPr>
            <w:r>
              <w:rPr>
                <w:rFonts w:ascii="Aptos" w:hAnsi="Aptos"/>
                <w:b/>
                <w:color w:val="FFFFFF"/>
                <w:sz w:val="18"/>
              </w:rPr>
              <w:t>Cadence</w:t>
            </w:r>
          </w:p>
        </w:tc>
        <w:tc>
          <w:tcPr>
            <w:tcW w:type="dxa" w:w="7260"/>
            <w:tcMar>
              <w:top w:w="100" w:type="dxa"/>
              <w:start w:w="120" w:type="dxa"/>
              <w:bottom w:w="100" w:type="dxa"/>
              <w:end w:w="120" w:type="dxa"/>
            </w:tcMar>
            <w:vAlign w:val="center"/>
            <w:shd w:fill="17365D"/>
          </w:tcPr>
          <w:p>
            <w:pPr>
              <w:spacing w:after="0"/>
              <w:ind w:left="0" w:firstLine="0"/>
            </w:pPr>
            <w:r>
              <w:rPr>
                <w:rFonts w:ascii="Aptos" w:hAnsi="Aptos"/>
                <w:b/>
                <w:color w:val="FFFFFF"/>
                <w:sz w:val="18"/>
              </w:rPr>
              <w:t>Required result</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Start of week</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Select one outcome per active lane; confirm owner, source, decision window, next action, and proof.</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Midweek</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Compare reported status with the controlling source; resolve conflicts; surface only material decisions or dependencies.</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End of week</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Close only with proof; carry forward incomplete work with the same owner, next smallest action, and exact roadblock.</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Monthly</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Review recurring exceptions, access, systems, vendors, open approvals, and evidence gaps.</w:t>
            </w:r>
          </w:p>
        </w:tc>
      </w:tr>
      <w:tr>
        <w:tc>
          <w:tcPr>
            <w:tcW w:type="dxa" w:w="2100"/>
            <w:tcMar>
              <w:top w:w="100" w:type="dxa"/>
              <w:start w:w="120" w:type="dxa"/>
              <w:bottom w:w="100" w:type="dxa"/>
              <w:end w:w="120" w:type="dxa"/>
            </w:tcMar>
            <w:vAlign w:val="center"/>
          </w:tcPr>
          <w:p>
            <w:pPr>
              <w:spacing w:after="0"/>
              <w:ind w:left="0" w:firstLine="0"/>
            </w:pPr>
            <w:r>
              <w:rPr>
                <w:rFonts w:ascii="Aptos" w:hAnsi="Aptos"/>
                <w:b w:val="0"/>
                <w:color w:val="17212B"/>
                <w:sz w:val="18"/>
              </w:rPr>
              <w:t>Quarterly / material change</w:t>
            </w:r>
          </w:p>
        </w:tc>
        <w:tc>
          <w:tcPr>
            <w:tcW w:type="dxa" w:w="7260"/>
            <w:tcMar>
              <w:top w:w="100" w:type="dxa"/>
              <w:start w:w="120" w:type="dxa"/>
              <w:bottom w:w="100" w:type="dxa"/>
              <w:end w:w="120" w:type="dxa"/>
            </w:tcMar>
            <w:vAlign w:val="center"/>
          </w:tcPr>
          <w:p>
            <w:pPr>
              <w:spacing w:after="0"/>
              <w:ind w:left="0" w:firstLine="0"/>
            </w:pPr>
            <w:r>
              <w:rPr>
                <w:rFonts w:ascii="Aptos" w:hAnsi="Aptos"/>
                <w:b w:val="0"/>
                <w:color w:val="17212B"/>
                <w:sz w:val="18"/>
              </w:rPr>
              <w:t>Review manual fitness, entity boundaries, source hierarchy, risk profile, and professional-review needs.</w:t>
            </w:r>
          </w:p>
        </w:tc>
      </w:tr>
    </w:tbl>
    <w:p>
      <w:pPr>
        <w:spacing w:after="0" w:line="20" w:lineRule="exact"/>
      </w:pPr>
      <w:r>
        <w:rPr>
          <w:rFonts w:ascii="Aptos" w:hAnsi="Aptos"/>
          <w:color w:val="FFFFFF"/>
          <w:sz w:val="2"/>
        </w:rPr>
        <w:t xml:space="preserve"> </w:t>
      </w:r>
    </w:p>
    <w:p>
      <w:pPr>
        <w:pStyle w:val="Heading2"/>
      </w:pPr>
      <w:r>
        <w:t>6.2 Daily start and close</w:t>
      </w:r>
    </w:p>
    <w:p>
      <w:pPr>
        <w:pStyle w:val="Heading3"/>
      </w:pPr>
      <w:r>
        <w:t>Start of a work block</w:t>
      </w:r>
    </w:p>
    <w:p>
      <w:pPr>
        <w:pStyle w:val="Checklist"/>
      </w:pPr>
      <w:r>
        <w:rPr>
          <w:rFonts w:ascii="Arial" w:hAnsi="Arial"/>
          <w:color w:val="2E74B5"/>
          <w:sz w:val="21"/>
        </w:rPr>
        <w:t xml:space="preserve">☐  </w:t>
      </w:r>
      <w:r>
        <w:rPr>
          <w:rFonts w:ascii="Aptos" w:hAnsi="Aptos"/>
          <w:color w:val="17212B"/>
          <w:sz w:val="20"/>
        </w:rPr>
        <w:t>Open the controlling work record; do not begin from an old message or download.</w:t>
      </w:r>
    </w:p>
    <w:p>
      <w:pPr>
        <w:pStyle w:val="Checklist"/>
      </w:pPr>
      <w:r>
        <w:rPr>
          <w:rFonts w:ascii="Arial" w:hAnsi="Arial"/>
          <w:color w:val="2E74B5"/>
          <w:sz w:val="21"/>
        </w:rPr>
        <w:t xml:space="preserve">☐  </w:t>
      </w:r>
      <w:r>
        <w:rPr>
          <w:rFonts w:ascii="Aptos" w:hAnsi="Aptos"/>
          <w:color w:val="17212B"/>
          <w:sz w:val="20"/>
        </w:rPr>
        <w:t>Confirm the outcome, entity, owner, source, current state, decision window, and next action.</w:t>
      </w:r>
    </w:p>
    <w:p>
      <w:pPr>
        <w:pStyle w:val="Checklist"/>
      </w:pPr>
      <w:r>
        <w:rPr>
          <w:rFonts w:ascii="Arial" w:hAnsi="Arial"/>
          <w:color w:val="2E74B5"/>
          <w:sz w:val="21"/>
        </w:rPr>
        <w:t xml:space="preserve">☐  </w:t>
      </w:r>
      <w:r>
        <w:rPr>
          <w:rFonts w:ascii="Aptos" w:hAnsi="Aptos"/>
          <w:color w:val="17212B"/>
          <w:sz w:val="20"/>
        </w:rPr>
        <w:t>Check for a changed approval, dependency, source, access state, or external deadline.</w:t>
      </w:r>
    </w:p>
    <w:p>
      <w:pPr>
        <w:pStyle w:val="Checklist"/>
      </w:pPr>
      <w:r>
        <w:rPr>
          <w:rFonts w:ascii="Arial" w:hAnsi="Arial"/>
          <w:color w:val="2E74B5"/>
          <w:sz w:val="21"/>
        </w:rPr>
        <w:t xml:space="preserve">☐  </w:t>
      </w:r>
      <w:r>
        <w:rPr>
          <w:rFonts w:ascii="Aptos" w:hAnsi="Aptos"/>
          <w:color w:val="17212B"/>
          <w:sz w:val="20"/>
        </w:rPr>
        <w:t>Choose the smallest safe step that produces reviewable evidence.</w:t>
      </w:r>
    </w:p>
    <w:p>
      <w:pPr>
        <w:pStyle w:val="Heading3"/>
      </w:pPr>
      <w:r>
        <w:t>Close of a work block</w:t>
      </w:r>
    </w:p>
    <w:p>
      <w:pPr>
        <w:pStyle w:val="Checklist"/>
      </w:pPr>
      <w:r>
        <w:rPr>
          <w:rFonts w:ascii="Arial" w:hAnsi="Arial"/>
          <w:color w:val="2E74B5"/>
          <w:sz w:val="21"/>
        </w:rPr>
        <w:t xml:space="preserve">☐  </w:t>
      </w:r>
      <w:r>
        <w:rPr>
          <w:rFonts w:ascii="Aptos" w:hAnsi="Aptos"/>
          <w:color w:val="17212B"/>
          <w:sz w:val="20"/>
        </w:rPr>
        <w:t>Save the candidate or evidence in the approved location; preserve the source and prior version.</w:t>
      </w:r>
    </w:p>
    <w:p>
      <w:pPr>
        <w:pStyle w:val="Checklist"/>
      </w:pPr>
      <w:r>
        <w:rPr>
          <w:rFonts w:ascii="Arial" w:hAnsi="Arial"/>
          <w:color w:val="2E74B5"/>
          <w:sz w:val="21"/>
        </w:rPr>
        <w:t xml:space="preserve">☐  </w:t>
      </w:r>
      <w:r>
        <w:rPr>
          <w:rFonts w:ascii="Aptos" w:hAnsi="Aptos"/>
          <w:color w:val="17212B"/>
          <w:sz w:val="20"/>
        </w:rPr>
        <w:t>Record actual state, material change, discrepancy, and sources checked.</w:t>
      </w:r>
    </w:p>
    <w:p>
      <w:pPr>
        <w:pStyle w:val="Checklist"/>
      </w:pPr>
      <w:r>
        <w:rPr>
          <w:rFonts w:ascii="Arial" w:hAnsi="Arial"/>
          <w:color w:val="2E74B5"/>
          <w:sz w:val="21"/>
        </w:rPr>
        <w:t xml:space="preserve">☐  </w:t>
      </w:r>
      <w:r>
        <w:rPr>
          <w:rFonts w:ascii="Aptos" w:hAnsi="Aptos"/>
          <w:color w:val="17212B"/>
          <w:sz w:val="20"/>
        </w:rPr>
        <w:t>Return proof or a decision-ready approval packet; do not report completion without evidence.</w:t>
      </w:r>
    </w:p>
    <w:p>
      <w:pPr>
        <w:pStyle w:val="Checklist"/>
      </w:pPr>
      <w:r>
        <w:rPr>
          <w:rFonts w:ascii="Arial" w:hAnsi="Arial"/>
          <w:color w:val="2E74B5"/>
          <w:sz w:val="21"/>
        </w:rPr>
        <w:t xml:space="preserve">☐  </w:t>
      </w:r>
      <w:r>
        <w:rPr>
          <w:rFonts w:ascii="Aptos" w:hAnsi="Aptos"/>
          <w:color w:val="17212B"/>
          <w:sz w:val="20"/>
        </w:rPr>
        <w:t>Name the next action, owner, gate, and follow-up date so another person can resume without reconstruction.</w:t>
      </w:r>
    </w:p>
    <w:p>
      <w:pPr>
        <w:pStyle w:val="Checklist"/>
      </w:pPr>
      <w:r>
        <w:rPr>
          <w:rFonts w:ascii="Arial" w:hAnsi="Arial"/>
          <w:color w:val="2E74B5"/>
          <w:sz w:val="21"/>
        </w:rPr>
        <w:t xml:space="preserve">☐  </w:t>
      </w:r>
      <w:r>
        <w:rPr>
          <w:rFonts w:ascii="Aptos" w:hAnsi="Aptos"/>
          <w:color w:val="17212B"/>
          <w:sz w:val="20"/>
        </w:rPr>
        <w:t>Remove local temporary copies containing restricted material when authorized and no longer needed; do not delete records subject to retention or hold requirements.</w:t>
      </w:r>
    </w:p>
    <w:p>
      <w:pPr>
        <w:pStyle w:val="Heading2"/>
      </w:pPr>
      <w:r>
        <w:t>6.3 Handoff standard</w:t>
      </w:r>
    </w:p>
    <w:p>
      <w:pPr>
        <w:pStyle w:val="Checklist"/>
      </w:pPr>
      <w:r>
        <w:rPr>
          <w:rFonts w:ascii="Arial" w:hAnsi="Arial"/>
          <w:color w:val="2E74B5"/>
          <w:sz w:val="21"/>
        </w:rPr>
        <w:t xml:space="preserve">☐  </w:t>
      </w:r>
      <w:r>
        <w:rPr>
          <w:rFonts w:ascii="Aptos" w:hAnsi="Aptos"/>
          <w:color w:val="17212B"/>
          <w:sz w:val="20"/>
        </w:rPr>
        <w:t>Outcome and actual current status are stated first.</w:t>
      </w:r>
    </w:p>
    <w:p>
      <w:pPr>
        <w:pStyle w:val="Checklist"/>
      </w:pPr>
      <w:r>
        <w:rPr>
          <w:rFonts w:ascii="Arial" w:hAnsi="Arial"/>
          <w:color w:val="2E74B5"/>
          <w:sz w:val="21"/>
        </w:rPr>
        <w:t xml:space="preserve">☐  </w:t>
      </w:r>
      <w:r>
        <w:rPr>
          <w:rFonts w:ascii="Aptos" w:hAnsi="Aptos"/>
          <w:color w:val="17212B"/>
          <w:sz w:val="20"/>
        </w:rPr>
        <w:t>Accountable lead and supporting contributors are named.</w:t>
      </w:r>
    </w:p>
    <w:p>
      <w:pPr>
        <w:pStyle w:val="Checklist"/>
      </w:pPr>
      <w:r>
        <w:rPr>
          <w:rFonts w:ascii="Arial" w:hAnsi="Arial"/>
          <w:color w:val="2E74B5"/>
          <w:sz w:val="21"/>
        </w:rPr>
        <w:t xml:space="preserve">☐  </w:t>
      </w:r>
      <w:r>
        <w:rPr>
          <w:rFonts w:ascii="Aptos" w:hAnsi="Aptos"/>
          <w:color w:val="17212B"/>
          <w:sz w:val="20"/>
        </w:rPr>
        <w:t>Controlling source and proof / working-file location are provided.</w:t>
      </w:r>
    </w:p>
    <w:p>
      <w:pPr>
        <w:pStyle w:val="Checklist"/>
      </w:pPr>
      <w:r>
        <w:rPr>
          <w:rFonts w:ascii="Arial" w:hAnsi="Arial"/>
          <w:color w:val="2E74B5"/>
          <w:sz w:val="21"/>
        </w:rPr>
        <w:t xml:space="preserve">☐  </w:t>
      </w:r>
      <w:r>
        <w:rPr>
          <w:rFonts w:ascii="Aptos" w:hAnsi="Aptos"/>
          <w:color w:val="17212B"/>
          <w:sz w:val="20"/>
        </w:rPr>
        <w:t>Completed, pending, parked, and superseded items are distinguished.</w:t>
      </w:r>
    </w:p>
    <w:p>
      <w:pPr>
        <w:pStyle w:val="Checklist"/>
      </w:pPr>
      <w:r>
        <w:rPr>
          <w:rFonts w:ascii="Arial" w:hAnsi="Arial"/>
          <w:color w:val="2E74B5"/>
          <w:sz w:val="21"/>
        </w:rPr>
        <w:t xml:space="preserve">☐  </w:t>
      </w:r>
      <w:r>
        <w:rPr>
          <w:rFonts w:ascii="Aptos" w:hAnsi="Aptos"/>
          <w:color w:val="17212B"/>
          <w:sz w:val="20"/>
        </w:rPr>
        <w:t>Unavailable sources and material discrepancies are explicit.</w:t>
      </w:r>
    </w:p>
    <w:p>
      <w:pPr>
        <w:pStyle w:val="Checklist"/>
      </w:pPr>
      <w:r>
        <w:rPr>
          <w:rFonts w:ascii="Arial" w:hAnsi="Arial"/>
          <w:color w:val="2E74B5"/>
          <w:sz w:val="21"/>
        </w:rPr>
        <w:t xml:space="preserve">☐  </w:t>
      </w:r>
      <w:r>
        <w:rPr>
          <w:rFonts w:ascii="Aptos" w:hAnsi="Aptos"/>
          <w:color w:val="17212B"/>
          <w:sz w:val="20"/>
        </w:rPr>
        <w:t>Next required output, next action, decision owner, and due window are clear.</w:t>
      </w:r>
    </w:p>
    <w:p>
      <w:pPr>
        <w:pStyle w:val="Heading1"/>
        <w:pageBreakBefore/>
      </w:pPr>
      <w:r>
        <w:t>7. Document and Records Control</w:t>
      </w:r>
    </w:p>
    <w:p>
      <w:pPr>
        <w:pStyle w:val="Heading2"/>
      </w:pPr>
      <w:r>
        <w:t>7.1 One controlling source</w:t>
      </w:r>
    </w:p>
    <w:p>
      <w:pPr/>
      <w:r>
        <w:rPr>
          <w:rFonts w:ascii="Aptos" w:hAnsi="Aptos"/>
          <w:color w:val="17212B"/>
          <w:sz w:val="21"/>
        </w:rPr>
        <w:t>Each recurring process has one controlling source. Companion checklists may implement the process, but they do not silently create policy. Task lists assign work; they do not supersede the manual. Meeting notes and chat provide context; they do not prove completion.</w:t>
      </w:r>
    </w:p>
    <w:p>
      <w:pPr>
        <w:pStyle w:val="Heading2"/>
      </w:pPr>
      <w:r>
        <w:t>7.2 Document states</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300"/>
        <w:gridCol w:w="7060"/>
      </w:tblGrid>
      <w:tr>
        <w:trPr>
          <w:tblHeader w:val="true"/>
        </w:trPr>
        <w:tc>
          <w:tcPr>
            <w:tcW w:type="dxa" w:w="2300"/>
            <w:tcMar>
              <w:top w:w="100" w:type="dxa"/>
              <w:start w:w="120" w:type="dxa"/>
              <w:bottom w:w="100" w:type="dxa"/>
              <w:end w:w="120" w:type="dxa"/>
            </w:tcMar>
            <w:vAlign w:val="center"/>
            <w:shd w:fill="17365D"/>
          </w:tcPr>
          <w:p>
            <w:pPr>
              <w:spacing w:after="0"/>
              <w:ind w:left="0" w:firstLine="0"/>
            </w:pPr>
            <w:r>
              <w:rPr>
                <w:rFonts w:ascii="Aptos" w:hAnsi="Aptos"/>
                <w:b/>
                <w:color w:val="FFFFFF"/>
                <w:sz w:val="18"/>
              </w:rPr>
              <w:t>State</w:t>
            </w:r>
          </w:p>
        </w:tc>
        <w:tc>
          <w:tcPr>
            <w:tcW w:type="dxa" w:w="7060"/>
            <w:tcMar>
              <w:top w:w="100" w:type="dxa"/>
              <w:start w:w="120" w:type="dxa"/>
              <w:bottom w:w="100" w:type="dxa"/>
              <w:end w:w="120" w:type="dxa"/>
            </w:tcMar>
            <w:vAlign w:val="center"/>
            <w:shd w:fill="17365D"/>
          </w:tcPr>
          <w:p>
            <w:pPr>
              <w:spacing w:after="0"/>
              <w:ind w:left="0" w:firstLine="0"/>
            </w:pPr>
            <w:r>
              <w:rPr>
                <w:rFonts w:ascii="Aptos" w:hAnsi="Aptos"/>
                <w:b/>
                <w:color w:val="FFFFFF"/>
                <w:sz w:val="18"/>
              </w:rPr>
              <w:t>Use</w:t>
            </w:r>
          </w:p>
        </w:tc>
      </w:tr>
      <w:tr>
        <w:tc>
          <w:tcPr>
            <w:tcW w:type="dxa" w:w="2300"/>
            <w:tcMar>
              <w:top w:w="100" w:type="dxa"/>
              <w:start w:w="120" w:type="dxa"/>
              <w:bottom w:w="100" w:type="dxa"/>
              <w:end w:w="120" w:type="dxa"/>
            </w:tcMar>
            <w:vAlign w:val="center"/>
          </w:tcPr>
          <w:p>
            <w:pPr>
              <w:spacing w:after="0"/>
              <w:ind w:left="0" w:firstLine="0"/>
            </w:pPr>
            <w:r>
              <w:rPr>
                <w:rFonts w:ascii="Aptos" w:hAnsi="Aptos"/>
                <w:b w:val="0"/>
                <w:color w:val="17212B"/>
                <w:sz w:val="18"/>
              </w:rPr>
              <w:t>Current</w:t>
            </w:r>
          </w:p>
        </w:tc>
        <w:tc>
          <w:tcPr>
            <w:tcW w:type="dxa" w:w="7060"/>
            <w:tcMar>
              <w:top w:w="100" w:type="dxa"/>
              <w:start w:w="120" w:type="dxa"/>
              <w:bottom w:w="100" w:type="dxa"/>
              <w:end w:w="120" w:type="dxa"/>
            </w:tcMar>
            <w:vAlign w:val="center"/>
          </w:tcPr>
          <w:p>
            <w:pPr>
              <w:spacing w:after="0"/>
              <w:ind w:left="0" w:firstLine="0"/>
            </w:pPr>
            <w:r>
              <w:rPr>
                <w:rFonts w:ascii="Aptos" w:hAnsi="Aptos"/>
                <w:b w:val="0"/>
                <w:color w:val="17212B"/>
                <w:sz w:val="18"/>
              </w:rPr>
              <w:t>The named controlling source for ongoing use.</w:t>
            </w:r>
          </w:p>
        </w:tc>
      </w:tr>
      <w:tr>
        <w:tc>
          <w:tcPr>
            <w:tcW w:type="dxa" w:w="2300"/>
            <w:tcMar>
              <w:top w:w="100" w:type="dxa"/>
              <w:start w:w="120" w:type="dxa"/>
              <w:bottom w:w="100" w:type="dxa"/>
              <w:end w:w="120" w:type="dxa"/>
            </w:tcMar>
            <w:vAlign w:val="center"/>
          </w:tcPr>
          <w:p>
            <w:pPr>
              <w:spacing w:after="0"/>
              <w:ind w:left="0" w:firstLine="0"/>
            </w:pPr>
            <w:r>
              <w:rPr>
                <w:rFonts w:ascii="Aptos" w:hAnsi="Aptos"/>
                <w:b w:val="0"/>
                <w:color w:val="17212B"/>
                <w:sz w:val="18"/>
              </w:rPr>
              <w:t>Review candidate</w:t>
            </w:r>
          </w:p>
        </w:tc>
        <w:tc>
          <w:tcPr>
            <w:tcW w:type="dxa" w:w="7060"/>
            <w:tcMar>
              <w:top w:w="100" w:type="dxa"/>
              <w:start w:w="120" w:type="dxa"/>
              <w:bottom w:w="100" w:type="dxa"/>
              <w:end w:w="120" w:type="dxa"/>
            </w:tcMar>
            <w:vAlign w:val="center"/>
          </w:tcPr>
          <w:p>
            <w:pPr>
              <w:spacing w:after="0"/>
              <w:ind w:left="0" w:firstLine="0"/>
            </w:pPr>
            <w:r>
              <w:rPr>
                <w:rFonts w:ascii="Aptos" w:hAnsi="Aptos"/>
                <w:b w:val="0"/>
                <w:color w:val="17212B"/>
                <w:sz w:val="18"/>
              </w:rPr>
              <w:t>The one active proposed revision awaiting approval.</w:t>
            </w:r>
          </w:p>
        </w:tc>
      </w:tr>
      <w:tr>
        <w:tc>
          <w:tcPr>
            <w:tcW w:type="dxa" w:w="2300"/>
            <w:tcMar>
              <w:top w:w="100" w:type="dxa"/>
              <w:start w:w="120" w:type="dxa"/>
              <w:bottom w:w="100" w:type="dxa"/>
              <w:end w:w="120" w:type="dxa"/>
            </w:tcMar>
            <w:vAlign w:val="center"/>
          </w:tcPr>
          <w:p>
            <w:pPr>
              <w:spacing w:after="0"/>
              <w:ind w:left="0" w:firstLine="0"/>
            </w:pPr>
            <w:r>
              <w:rPr>
                <w:rFonts w:ascii="Aptos" w:hAnsi="Aptos"/>
                <w:b w:val="0"/>
                <w:color w:val="17212B"/>
                <w:sz w:val="18"/>
              </w:rPr>
              <w:t>Issued / operative</w:t>
            </w:r>
          </w:p>
        </w:tc>
        <w:tc>
          <w:tcPr>
            <w:tcW w:type="dxa" w:w="7060"/>
            <w:tcMar>
              <w:top w:w="100" w:type="dxa"/>
              <w:start w:w="120" w:type="dxa"/>
              <w:bottom w:w="100" w:type="dxa"/>
              <w:end w:w="120" w:type="dxa"/>
            </w:tcMar>
            <w:vAlign w:val="center"/>
          </w:tcPr>
          <w:p>
            <w:pPr>
              <w:spacing w:after="0"/>
              <w:ind w:left="0" w:firstLine="0"/>
            </w:pPr>
            <w:r>
              <w:rPr>
                <w:rFonts w:ascii="Aptos" w:hAnsi="Aptos"/>
                <w:b w:val="0"/>
                <w:color w:val="17212B"/>
                <w:sz w:val="18"/>
              </w:rPr>
              <w:t>Approved for use; effective date and owner are recorded.</w:t>
            </w:r>
          </w:p>
        </w:tc>
      </w:tr>
      <w:tr>
        <w:tc>
          <w:tcPr>
            <w:tcW w:type="dxa" w:w="2300"/>
            <w:tcMar>
              <w:top w:w="100" w:type="dxa"/>
              <w:start w:w="120" w:type="dxa"/>
              <w:bottom w:w="100" w:type="dxa"/>
              <w:end w:w="120" w:type="dxa"/>
            </w:tcMar>
            <w:vAlign w:val="center"/>
          </w:tcPr>
          <w:p>
            <w:pPr>
              <w:spacing w:after="0"/>
              <w:ind w:left="0" w:firstLine="0"/>
            </w:pPr>
            <w:r>
              <w:rPr>
                <w:rFonts w:ascii="Aptos" w:hAnsi="Aptos"/>
                <w:b w:val="0"/>
                <w:color w:val="17212B"/>
                <w:sz w:val="18"/>
              </w:rPr>
              <w:t>Historical / superseded</w:t>
            </w:r>
          </w:p>
        </w:tc>
        <w:tc>
          <w:tcPr>
            <w:tcW w:type="dxa" w:w="7060"/>
            <w:tcMar>
              <w:top w:w="100" w:type="dxa"/>
              <w:start w:w="120" w:type="dxa"/>
              <w:bottom w:w="100" w:type="dxa"/>
              <w:end w:w="120" w:type="dxa"/>
            </w:tcMar>
            <w:vAlign w:val="center"/>
          </w:tcPr>
          <w:p>
            <w:pPr>
              <w:spacing w:after="0"/>
              <w:ind w:left="0" w:firstLine="0"/>
            </w:pPr>
            <w:r>
              <w:rPr>
                <w:rFonts w:ascii="Aptos" w:hAnsi="Aptos"/>
                <w:b w:val="0"/>
                <w:color w:val="17212B"/>
                <w:sz w:val="18"/>
              </w:rPr>
              <w:t>Preserved for lineage; clearly labeled non-controlling.</w:t>
            </w:r>
          </w:p>
        </w:tc>
      </w:tr>
      <w:tr>
        <w:tc>
          <w:tcPr>
            <w:tcW w:type="dxa" w:w="2300"/>
            <w:tcMar>
              <w:top w:w="100" w:type="dxa"/>
              <w:start w:w="120" w:type="dxa"/>
              <w:bottom w:w="100" w:type="dxa"/>
              <w:end w:w="120" w:type="dxa"/>
            </w:tcMar>
            <w:vAlign w:val="center"/>
          </w:tcPr>
          <w:p>
            <w:pPr>
              <w:spacing w:after="0"/>
              <w:ind w:left="0" w:firstLine="0"/>
            </w:pPr>
            <w:r>
              <w:rPr>
                <w:rFonts w:ascii="Aptos" w:hAnsi="Aptos"/>
                <w:b w:val="0"/>
                <w:color w:val="17212B"/>
                <w:sz w:val="18"/>
              </w:rPr>
              <w:t>Executed record</w:t>
            </w:r>
          </w:p>
        </w:tc>
        <w:tc>
          <w:tcPr>
            <w:tcW w:type="dxa" w:w="7060"/>
            <w:tcMar>
              <w:top w:w="100" w:type="dxa"/>
              <w:start w:w="120" w:type="dxa"/>
              <w:bottom w:w="100" w:type="dxa"/>
              <w:end w:w="120" w:type="dxa"/>
            </w:tcMar>
            <w:vAlign w:val="center"/>
          </w:tcPr>
          <w:p>
            <w:pPr>
              <w:spacing w:after="0"/>
              <w:ind w:left="0" w:firstLine="0"/>
            </w:pPr>
            <w:r>
              <w:rPr>
                <w:rFonts w:ascii="Aptos" w:hAnsi="Aptos"/>
                <w:b w:val="0"/>
                <w:color w:val="17212B"/>
                <w:sz w:val="18"/>
              </w:rPr>
              <w:t>Signed, filed, sent, accepted, paid, or otherwise completed with evidence.</w:t>
            </w:r>
          </w:p>
        </w:tc>
      </w:tr>
    </w:tbl>
    <w:p>
      <w:pPr>
        <w:spacing w:after="0" w:line="20" w:lineRule="exact"/>
      </w:pPr>
      <w:r>
        <w:rPr>
          <w:rFonts w:ascii="Aptos" w:hAnsi="Aptos"/>
          <w:color w:val="FFFFFF"/>
          <w:sz w:val="2"/>
        </w:rPr>
        <w:t xml:space="preserve"> </w:t>
      </w:r>
    </w:p>
    <w:p>
      <w:pPr>
        <w:pStyle w:val="Heading2"/>
      </w:pPr>
      <w:r>
        <w:t>7.3 File control rules</w:t>
      </w:r>
    </w:p>
    <w:p>
      <w:pPr>
        <w:pStyle w:val="ListBullet"/>
      </w:pPr>
      <w:r>
        <w:rPr>
          <w:rFonts w:ascii="Aptos" w:hAnsi="Aptos"/>
          <w:color w:val="17212B"/>
          <w:sz w:val="20"/>
        </w:rPr>
        <w:t>Use a clear title, entity, document type, status, and date or version where useful.</w:t>
      </w:r>
    </w:p>
    <w:p>
      <w:pPr>
        <w:pStyle w:val="ListBullet"/>
      </w:pPr>
      <w:r>
        <w:rPr>
          <w:rFonts w:ascii="Aptos" w:hAnsi="Aptos"/>
          <w:color w:val="17212B"/>
          <w:sz w:val="20"/>
        </w:rPr>
        <w:t>Do not label a file approved, executed, signed, filed, final, live, or published unless the evidence supports that exact state.</w:t>
      </w:r>
    </w:p>
    <w:p>
      <w:pPr>
        <w:pStyle w:val="ListBullet"/>
      </w:pPr>
      <w:r>
        <w:rPr>
          <w:rFonts w:ascii="Aptos" w:hAnsi="Aptos"/>
          <w:color w:val="17212B"/>
          <w:sz w:val="20"/>
        </w:rPr>
        <w:t>Do not call files exact duplicates without an exact comparison.</w:t>
      </w:r>
    </w:p>
    <w:p>
      <w:pPr>
        <w:pStyle w:val="ListBullet"/>
      </w:pPr>
      <w:r>
        <w:rPr>
          <w:rFonts w:ascii="Aptos" w:hAnsi="Aptos"/>
          <w:color w:val="17212B"/>
          <w:sz w:val="20"/>
        </w:rPr>
        <w:t>Keep source records, working files, review candidates, executed proof, and archives separate.</w:t>
      </w:r>
    </w:p>
    <w:p>
      <w:pPr>
        <w:pStyle w:val="ListBullet"/>
      </w:pPr>
      <w:r>
        <w:rPr>
          <w:rFonts w:ascii="Aptos" w:hAnsi="Aptos"/>
          <w:color w:val="17212B"/>
          <w:sz w:val="20"/>
        </w:rPr>
        <w:t>Hash final local artifacts when integrity or lineage materially matters.</w:t>
      </w:r>
    </w:p>
    <w:p>
      <w:pPr>
        <w:pStyle w:val="ListBullet"/>
      </w:pPr>
      <w:r>
        <w:rPr>
          <w:rFonts w:ascii="Aptos" w:hAnsi="Aptos"/>
          <w:color w:val="17212B"/>
          <w:sz w:val="20"/>
        </w:rPr>
        <w:t>Record professional advice with source, date, scope, and the resulting owner decision; do not overstate it.</w:t>
      </w:r>
    </w:p>
    <w:p>
      <w:pPr>
        <w:pStyle w:val="Heading2"/>
      </w:pPr>
      <w:r>
        <w:t>7.4 Completion record</w:t>
      </w:r>
    </w:p>
    <w:p>
      <w:pPr/>
      <w:r>
        <w:rPr>
          <w:rFonts w:ascii="Aptos" w:hAnsi="Aptos"/>
          <w:color w:val="17212B"/>
          <w:sz w:val="21"/>
        </w:rPr>
        <w:t>Every completed item records: object; entity; accountable owner; controlling source; approval; execution date; verifier; verification method; proof location; and any follow-up. A filename, task status, or verbal report alone is insufficient.</w:t>
      </w:r>
    </w:p>
    <w:p>
      <w:pPr>
        <w:pStyle w:val="Heading1"/>
        <w:pageBreakBefore/>
      </w:pPr>
      <w:r>
        <w:t>8. Information Handling, Privacy, and Retention</w:t>
      </w:r>
    </w:p>
    <w:p>
      <w:pPr>
        <w:pStyle w:val="Heading2"/>
      </w:pPr>
      <w:r>
        <w:t>8.1 Working classifications</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1800"/>
        <w:gridCol w:w="7560"/>
      </w:tblGrid>
      <w:tr>
        <w:trPr>
          <w:tblHeader w:val="true"/>
        </w:trPr>
        <w:tc>
          <w:tcPr>
            <w:tcW w:type="dxa" w:w="1800"/>
            <w:tcMar>
              <w:top w:w="100" w:type="dxa"/>
              <w:start w:w="120" w:type="dxa"/>
              <w:bottom w:w="100" w:type="dxa"/>
              <w:end w:w="120" w:type="dxa"/>
            </w:tcMar>
            <w:vAlign w:val="center"/>
            <w:shd w:fill="17365D"/>
          </w:tcPr>
          <w:p>
            <w:pPr>
              <w:spacing w:after="0"/>
              <w:ind w:left="0" w:firstLine="0"/>
            </w:pPr>
            <w:r>
              <w:rPr>
                <w:rFonts w:ascii="Aptos" w:hAnsi="Aptos"/>
                <w:b/>
                <w:color w:val="FFFFFF"/>
                <w:sz w:val="18"/>
              </w:rPr>
              <w:t>Class</w:t>
            </w:r>
          </w:p>
        </w:tc>
        <w:tc>
          <w:tcPr>
            <w:tcW w:type="dxa" w:w="7560"/>
            <w:tcMar>
              <w:top w:w="100" w:type="dxa"/>
              <w:start w:w="120" w:type="dxa"/>
              <w:bottom w:w="100" w:type="dxa"/>
              <w:end w:w="120" w:type="dxa"/>
            </w:tcMar>
            <w:vAlign w:val="center"/>
            <w:shd w:fill="17365D"/>
          </w:tcPr>
          <w:p>
            <w:pPr>
              <w:spacing w:after="0"/>
              <w:ind w:left="0" w:firstLine="0"/>
            </w:pPr>
            <w:r>
              <w:rPr>
                <w:rFonts w:ascii="Aptos" w:hAnsi="Aptos"/>
                <w:b/>
                <w:color w:val="FFFFFF"/>
                <w:sz w:val="18"/>
              </w:rPr>
              <w:t>Handling standard</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Public</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Approved for public release. Public status must be verified; draft marketing copy is not public.</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Internal</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Ordinary Company operating information for authorized team use.</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Confidential</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Client, vendor, contract, financial, strategy, or non-public operating information; share only by business need.</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Restricted</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Credentials, identity, banking, tax, payroll, medical, personnel, legal, recovery-key, or other high-impact data; store only in the approved restricted system.</w:t>
            </w:r>
          </w:p>
        </w:tc>
      </w:tr>
    </w:tbl>
    <w:p>
      <w:pPr>
        <w:spacing w:after="0" w:line="20" w:lineRule="exact"/>
      </w:pPr>
      <w:r>
        <w:rPr>
          <w:rFonts w:ascii="Aptos" w:hAnsi="Aptos"/>
          <w:color w:val="FFFFFF"/>
          <w:sz w:val="2"/>
        </w:rPr>
        <w:t xml:space="preserve"> </w:t>
      </w:r>
    </w:p>
    <w:p>
      <w:pPr>
        <w:pStyle w:val="Heading2"/>
      </w:pPr>
      <w:r>
        <w:t>8.2 Minimum handling rules</w:t>
      </w:r>
    </w:p>
    <w:p>
      <w:pPr>
        <w:pStyle w:val="ListBullet"/>
      </w:pPr>
      <w:r>
        <w:rPr>
          <w:rFonts w:ascii="Aptos" w:hAnsi="Aptos"/>
          <w:color w:val="17212B"/>
          <w:sz w:val="20"/>
        </w:rPr>
        <w:t>Collect only what the approved outcome requires.</w:t>
      </w:r>
    </w:p>
    <w:p>
      <w:pPr>
        <w:pStyle w:val="ListBullet"/>
      </w:pPr>
      <w:r>
        <w:rPr>
          <w:rFonts w:ascii="Aptos" w:hAnsi="Aptos"/>
          <w:color w:val="17212B"/>
          <w:sz w:val="20"/>
        </w:rPr>
        <w:t>Keep passwords, verification codes, recovery keys, full taxpayer IDs, bank details, identity documents, medical data, and private signatures out of ordinary chat, email, task boards, and team packets.</w:t>
      </w:r>
    </w:p>
    <w:p>
      <w:pPr>
        <w:pStyle w:val="ListBullet"/>
      </w:pPr>
      <w:r>
        <w:rPr>
          <w:rFonts w:ascii="Aptos" w:hAnsi="Aptos"/>
          <w:color w:val="17212B"/>
          <w:sz w:val="20"/>
        </w:rPr>
        <w:t>Use secure, approved transfer and storage for restricted material. Confirm the destination account and inherited access before placing records there.</w:t>
      </w:r>
    </w:p>
    <w:p>
      <w:pPr>
        <w:pStyle w:val="ListBullet"/>
      </w:pPr>
      <w:r>
        <w:rPr>
          <w:rFonts w:ascii="Aptos" w:hAnsi="Aptos"/>
          <w:color w:val="17212B"/>
          <w:sz w:val="20"/>
        </w:rPr>
        <w:t>Use least privilege and separate client/entity storage. Do not duplicate restricted records for convenience.</w:t>
      </w:r>
    </w:p>
    <w:p>
      <w:pPr>
        <w:pStyle w:val="ListBullet"/>
      </w:pPr>
      <w:r>
        <w:rPr>
          <w:rFonts w:ascii="Aptos" w:hAnsi="Aptos"/>
          <w:color w:val="17212B"/>
          <w:sz w:val="20"/>
        </w:rPr>
        <w:t>Do not change retention periods, delete records, or dispose of equipment without confirming the controlling retention, legal-hold, tax, contract, insurance, and business need.</w:t>
      </w:r>
    </w:p>
    <w:p>
      <w:pPr>
        <w:pStyle w:val="ListBullet"/>
      </w:pPr>
      <w:r>
        <w:rPr>
          <w:rFonts w:ascii="Aptos" w:hAnsi="Aptos"/>
          <w:color w:val="17212B"/>
          <w:sz w:val="20"/>
        </w:rPr>
        <w:t>Report suspected loss, misdelivery, over-sharing, or unauthorized access immediately through the incident procedure.</w:t>
      </w:r>
    </w:p>
    <w:p>
      <w:pPr>
        <w:pStyle w:val="Heading2"/>
      </w:pPr>
      <w:r>
        <w:t>8.3 Missing-item diagnosis</w:t>
      </w:r>
    </w:p>
    <w:p>
      <w:pPr/>
      <w:r>
        <w:rPr>
          <w:rFonts w:ascii="Aptos" w:hAnsi="Aptos"/>
          <w:color w:val="17212B"/>
          <w:sz w:val="21"/>
        </w:rPr>
        <w:t>Before concluding that an existing item is missing or must be recreated, search narrowly using the exact title, sender, filename, date, URL, or stable identifier across the sources authorized for the requester, owner, entity, and outcome. If a source is private, disconnected, in another account, or unavailable, record that limitation rather than inferring absence.</w:t>
      </w:r>
    </w:p>
    <w:p>
      <w:pPr>
        <w:pStyle w:val="Heading1"/>
        <w:pageBreakBefore/>
      </w:pPr>
      <w:r>
        <w:t>9. Financial, Purchasing, and Vendor Administration</w:t>
      </w:r>
    </w:p>
    <w:tbl>
      <w:tblPr>
        <w:tblW w:type="dxa" w:w="9360"/>
        <w:jc w:val="left"/>
        <w:tblLayout w:type="fixed"/>
        <w:tblLook w:firstColumn="1" w:firstRow="1" w:lastColumn="0" w:lastRow="0" w:noHBand="0" w:noVBand="1" w:val="04A0"/>
        <w:tblInd w:w="120" w:type="dxa"/>
        <w:tblBorders>
          <w:top w:val="single" w:sz="8" w:space="0" w:color="8A6500"/>
          <w:left w:val="single" w:sz="8" w:space="0" w:color="8A6500"/>
          <w:bottom w:val="single" w:sz="8" w:space="0" w:color="8A6500"/>
          <w:right w:val="single" w:sz="8" w:space="0" w:color="8A6500"/>
          <w:insideH w:val="single" w:sz="8" w:space="0" w:color="8A6500"/>
          <w:insideV w:val="single" w:sz="8" w:space="0" w:color="8A6500"/>
        </w:tblBorders>
      </w:tblPr>
      <w:tblGrid>
        <w:gridCol w:w="9360"/>
      </w:tblGrid>
      <w:tr>
        <w:trPr>
          <w:tblHeader w:val="true"/>
        </w:trPr>
        <w:tc>
          <w:tcPr>
            <w:tcW w:type="dxa" w:w="9360"/>
            <w:tcMar>
              <w:top w:w="130" w:type="dxa"/>
              <w:start w:w="180" w:type="dxa"/>
              <w:bottom w:w="130" w:type="dxa"/>
              <w:end w:w="180" w:type="dxa"/>
            </w:tcMar>
            <w:vAlign w:val="center"/>
            <w:shd w:fill="FFF6D8"/>
          </w:tcPr>
          <w:p>
            <w:pPr>
              <w:spacing w:after="0"/>
            </w:pPr>
            <w:r>
              <w:rPr>
                <w:rFonts w:ascii="Aptos" w:hAnsi="Aptos"/>
                <w:b/>
                <w:color w:val="8A6500"/>
                <w:sz w:val="19"/>
              </w:rPr>
              <w:t xml:space="preserve">CONTROL PRINCIPLE  </w:t>
            </w:r>
            <w:r>
              <w:rPr>
                <w:rFonts w:ascii="Aptos" w:hAnsi="Aptos"/>
                <w:color w:val="17212B"/>
                <w:sz w:val="19"/>
              </w:rPr>
              <w:t>Preparation and approval are separate. A person may collect records, enter a draft, attach a receipt, or prepare a payment request without authority to release money.</w:t>
            </w:r>
          </w:p>
        </w:tc>
      </w:tr>
    </w:tbl>
    <w:p>
      <w:pPr>
        <w:spacing w:after="20"/>
      </w:pPr>
    </w:p>
    <w:p>
      <w:pPr>
        <w:pStyle w:val="Heading2"/>
      </w:pPr>
      <w:r>
        <w:t>9.1 Purchase or payment workflow</w:t>
      </w:r>
    </w:p>
    <w:p>
      <w:pPr>
        <w:spacing w:after="80" w:line="276" w:lineRule="auto"/>
        <w:numPr>
          <w:ilvl w:val="0"/>
          <w:numId w:val="13"/>
        </w:numPr>
      </w:pPr>
      <w:r>
        <w:rPr>
          <w:rFonts w:ascii="Aptos" w:hAnsi="Aptos"/>
          <w:color w:val="17212B"/>
          <w:sz w:val="20"/>
        </w:rPr>
        <w:t>Identify the correct entity, business purpose, budget or authorization basis, vendor, amount, terms, and required date.</w:t>
      </w:r>
    </w:p>
    <w:p>
      <w:pPr>
        <w:spacing w:after="80" w:line="276" w:lineRule="auto"/>
        <w:numPr>
          <w:ilvl w:val="0"/>
          <w:numId w:val="13"/>
        </w:numPr>
      </w:pPr>
      <w:r>
        <w:rPr>
          <w:rFonts w:ascii="Aptos" w:hAnsi="Aptos"/>
          <w:color w:val="17212B"/>
          <w:sz w:val="20"/>
        </w:rPr>
        <w:t>Screen related-party interests, recurring obligations, cancellation terms, data access, insurance, and specialist-review needs.</w:t>
      </w:r>
    </w:p>
    <w:p>
      <w:pPr>
        <w:spacing w:after="80" w:line="276" w:lineRule="auto"/>
        <w:numPr>
          <w:ilvl w:val="0"/>
          <w:numId w:val="13"/>
        </w:numPr>
      </w:pPr>
      <w:r>
        <w:rPr>
          <w:rFonts w:ascii="Aptos" w:hAnsi="Aptos"/>
          <w:color w:val="17212B"/>
          <w:sz w:val="20"/>
        </w:rPr>
        <w:t>Prepare the exact order, bill, reimbursement, payment, or subscription action with supporting documents.</w:t>
      </w:r>
    </w:p>
    <w:p>
      <w:pPr>
        <w:spacing w:after="80" w:line="276" w:lineRule="auto"/>
        <w:numPr>
          <w:ilvl w:val="0"/>
          <w:numId w:val="13"/>
        </w:numPr>
      </w:pPr>
      <w:r>
        <w:rPr>
          <w:rFonts w:ascii="Aptos" w:hAnsi="Aptos"/>
          <w:color w:val="17212B"/>
          <w:sz w:val="20"/>
        </w:rPr>
        <w:t>Obtain owner approval for the exact amount, vendor, terms, funding source, and action.</w:t>
      </w:r>
    </w:p>
    <w:p>
      <w:pPr>
        <w:spacing w:after="80" w:line="276" w:lineRule="auto"/>
        <w:numPr>
          <w:ilvl w:val="0"/>
          <w:numId w:val="13"/>
        </w:numPr>
      </w:pPr>
      <w:r>
        <w:rPr>
          <w:rFonts w:ascii="Aptos" w:hAnsi="Aptos"/>
          <w:color w:val="17212B"/>
          <w:sz w:val="20"/>
        </w:rPr>
        <w:t>The authorized person executes the approved action; no preparer assumes bank or payment authority.</w:t>
      </w:r>
    </w:p>
    <w:p>
      <w:pPr>
        <w:spacing w:after="80" w:line="276" w:lineRule="auto"/>
        <w:numPr>
          <w:ilvl w:val="0"/>
          <w:numId w:val="13"/>
        </w:numPr>
      </w:pPr>
      <w:r>
        <w:rPr>
          <w:rFonts w:ascii="Aptos" w:hAnsi="Aptos"/>
          <w:color w:val="17212B"/>
          <w:sz w:val="20"/>
        </w:rPr>
        <w:t>Retain receipt, confirmation, contract, delivery evidence, and correct entity/accounting classification.</w:t>
      </w:r>
    </w:p>
    <w:p>
      <w:pPr>
        <w:spacing w:after="80" w:line="276" w:lineRule="auto"/>
        <w:numPr>
          <w:ilvl w:val="0"/>
          <w:numId w:val="13"/>
        </w:numPr>
      </w:pPr>
      <w:r>
        <w:rPr>
          <w:rFonts w:ascii="Aptos" w:hAnsi="Aptos"/>
          <w:color w:val="17212B"/>
          <w:sz w:val="20"/>
        </w:rPr>
        <w:t>Reconcile the result and record any variance, refund, dispute, renewal, or open obligation.</w:t>
      </w:r>
    </w:p>
    <w:p>
      <w:pPr>
        <w:pStyle w:val="Heading2"/>
      </w:pPr>
      <w:r>
        <w:t>9.2 Financial boundaries</w:t>
      </w:r>
    </w:p>
    <w:p>
      <w:pPr>
        <w:pStyle w:val="ListBullet"/>
      </w:pPr>
      <w:r>
        <w:rPr>
          <w:rFonts w:ascii="Aptos" w:hAnsi="Aptos"/>
          <w:color w:val="17212B"/>
          <w:sz w:val="20"/>
        </w:rPr>
        <w:t>No bank connection, payroll activation, tax filing, subscription purchase, or provider authorization without owner review of the exact action.</w:t>
      </w:r>
    </w:p>
    <w:p>
      <w:pPr>
        <w:pStyle w:val="ListBullet"/>
      </w:pPr>
      <w:r>
        <w:rPr>
          <w:rFonts w:ascii="Aptos" w:hAnsi="Aptos"/>
          <w:color w:val="17212B"/>
          <w:sz w:val="20"/>
        </w:rPr>
        <w:t>Do not infer tax classification, deductibility, payroll treatment, reporting duty, or accounting treatment. Route the question to the CPA, payroll provider, bookkeeper, or tax professional as appropriate.</w:t>
      </w:r>
    </w:p>
    <w:p>
      <w:pPr>
        <w:pStyle w:val="ListBullet"/>
      </w:pPr>
      <w:r>
        <w:rPr>
          <w:rFonts w:ascii="Aptos" w:hAnsi="Aptos"/>
          <w:color w:val="17212B"/>
          <w:sz w:val="20"/>
        </w:rPr>
        <w:t>Keep each entity’s expenses, receipts, approvals, accounts, books, and supporting records separate.</w:t>
      </w:r>
    </w:p>
    <w:p>
      <w:pPr>
        <w:pStyle w:val="ListBullet"/>
      </w:pPr>
      <w:r>
        <w:rPr>
          <w:rFonts w:ascii="Aptos" w:hAnsi="Aptos"/>
          <w:color w:val="17212B"/>
          <w:sz w:val="20"/>
        </w:rPr>
        <w:t>Do not place account numbers, taxpayer IDs, or credentials in this manual or ordinary approval notes.</w:t>
      </w:r>
    </w:p>
    <w:p>
      <w:pPr>
        <w:pStyle w:val="Heading1"/>
        <w:pageBreakBefore/>
      </w:pPr>
      <w:r>
        <w:t>10. External Communications, Client Work, and Publishing</w:t>
      </w:r>
    </w:p>
    <w:p>
      <w:pPr>
        <w:pStyle w:val="Heading2"/>
      </w:pPr>
      <w:r>
        <w:t>10.1 Communication release gate</w:t>
      </w:r>
    </w:p>
    <w:p>
      <w:pPr/>
      <w:r>
        <w:rPr>
          <w:rFonts w:ascii="Aptos" w:hAnsi="Aptos"/>
          <w:color w:val="17212B"/>
          <w:sz w:val="21"/>
        </w:rPr>
        <w:t>Every external communication requires review and explicit approval of the exact final content and destination immediately before sending. The approval packet names the sender identity, legal entity, recipients, subject, body, attachments, links, response owner, and any confidentiality or deadline issue.</w:t>
      </w:r>
    </w:p>
    <w:p>
      <w:pPr/>
      <w:r>
        <w:rPr>
          <w:rFonts w:ascii="Aptos" w:hAnsi="Aptos"/>
          <w:color w:val="17212B"/>
          <w:sz w:val="21"/>
        </w:rPr>
        <w:t>Drafting, formatting, recipient research, and local preview are preparation only. Scheduled, queued, or saved messages are not sent; a local website is not published; and a connected form is not active until verified on the intended surface.</w:t>
      </w:r>
    </w:p>
    <w:p>
      <w:pPr>
        <w:pStyle w:val="Heading2"/>
      </w:pPr>
      <w:r>
        <w:t>10.2 Client and prospective-client intake</w:t>
      </w:r>
    </w:p>
    <w:p>
      <w:pPr>
        <w:spacing w:after="80" w:line="276" w:lineRule="auto"/>
        <w:numPr>
          <w:ilvl w:val="0"/>
          <w:numId w:val="14"/>
        </w:numPr>
      </w:pPr>
      <w:r>
        <w:rPr>
          <w:rFonts w:ascii="Aptos" w:hAnsi="Aptos"/>
          <w:color w:val="17212B"/>
          <w:sz w:val="20"/>
        </w:rPr>
        <w:t>Confirm who is asking, their entity and authority, the current operating reality, the desired first result, and the completion test.</w:t>
      </w:r>
    </w:p>
    <w:p>
      <w:pPr>
        <w:spacing w:after="80" w:line="276" w:lineRule="auto"/>
        <w:numPr>
          <w:ilvl w:val="0"/>
          <w:numId w:val="14"/>
        </w:numPr>
      </w:pPr>
      <w:r>
        <w:rPr>
          <w:rFonts w:ascii="Aptos" w:hAnsi="Aptos"/>
          <w:color w:val="17212B"/>
          <w:sz w:val="20"/>
        </w:rPr>
        <w:t>Identify related owners, entities, assets, customers, locations, records, conflicts, and required specialist inputs.</w:t>
      </w:r>
    </w:p>
    <w:p>
      <w:pPr>
        <w:spacing w:after="80" w:line="276" w:lineRule="auto"/>
        <w:numPr>
          <w:ilvl w:val="0"/>
          <w:numId w:val="14"/>
        </w:numPr>
      </w:pPr>
      <w:r>
        <w:rPr>
          <w:rFonts w:ascii="Aptos" w:hAnsi="Aptos"/>
          <w:color w:val="17212B"/>
          <w:sz w:val="20"/>
        </w:rPr>
        <w:t>Separate NOW, NEXT, and LATER. Do not let speculative future lanes delay the first approved outcome.</w:t>
      </w:r>
    </w:p>
    <w:p>
      <w:pPr>
        <w:spacing w:after="80" w:line="276" w:lineRule="auto"/>
        <w:numPr>
          <w:ilvl w:val="0"/>
          <w:numId w:val="14"/>
        </w:numPr>
      </w:pPr>
      <w:r>
        <w:rPr>
          <w:rFonts w:ascii="Aptos" w:hAnsi="Aptos"/>
          <w:color w:val="17212B"/>
          <w:sz w:val="20"/>
        </w:rPr>
        <w:t>Request only records necessary to define or perform the approved scope, using a secure method for sensitive material.</w:t>
      </w:r>
    </w:p>
    <w:p>
      <w:pPr>
        <w:spacing w:after="80" w:line="276" w:lineRule="auto"/>
        <w:numPr>
          <w:ilvl w:val="0"/>
          <w:numId w:val="14"/>
        </w:numPr>
      </w:pPr>
      <w:r>
        <w:rPr>
          <w:rFonts w:ascii="Aptos" w:hAnsi="Aptos"/>
          <w:color w:val="17212B"/>
          <w:sz w:val="20"/>
        </w:rPr>
        <w:t>If the work is a fit, prepare a separate scope, fee, responsibilities, exclusions, assumptions, acceptance standard, and work order for review.</w:t>
      </w:r>
    </w:p>
    <w:p>
      <w:pPr>
        <w:spacing w:after="80" w:line="276" w:lineRule="auto"/>
        <w:numPr>
          <w:ilvl w:val="0"/>
          <w:numId w:val="14"/>
        </w:numPr>
      </w:pPr>
      <w:r>
        <w:rPr>
          <w:rFonts w:ascii="Aptos" w:hAnsi="Aptos"/>
          <w:color w:val="17212B"/>
          <w:sz w:val="20"/>
        </w:rPr>
        <w:t>Do not begin client-system access, bookkeeping, formation, advisory, regulated, or customer-facing work until the service-readiness and owner-approval gates for that exact engagement are complete.</w:t>
      </w:r>
    </w:p>
    <w:p>
      <w:pPr>
        <w:pStyle w:val="Heading2"/>
      </w:pPr>
      <w:r>
        <w:t>10.3 Claims and promises</w:t>
      </w:r>
    </w:p>
    <w:p>
      <w:pPr/>
      <w:r>
        <w:rPr>
          <w:rFonts w:ascii="Aptos" w:hAnsi="Aptos"/>
          <w:color w:val="17212B"/>
          <w:sz w:val="21"/>
        </w:rPr>
        <w:t>The Company communicates honestly and avoids unsupported guarantees. It may describe verified capabilities and expected process; it does not promise regulatory approval, funding, profit, licensing, tax results, legal outcomes, insurance coverage, or market demand. Durable success begins with honest expectations, practical planning, and evidence of real results.</w:t>
      </w:r>
    </w:p>
    <w:p>
      <w:pPr>
        <w:pStyle w:val="Heading1"/>
        <w:pageBreakBefore/>
      </w:pPr>
      <w:r>
        <w:t>11. Accounts, Access, Software, and Systems</w:t>
      </w:r>
    </w:p>
    <w:p>
      <w:pPr>
        <w:pStyle w:val="Heading2"/>
      </w:pPr>
      <w:r>
        <w:t>11.1 Access standard</w:t>
      </w:r>
    </w:p>
    <w:p>
      <w:pPr>
        <w:pStyle w:val="ListBullet"/>
      </w:pPr>
      <w:r>
        <w:rPr>
          <w:rFonts w:ascii="Aptos" w:hAnsi="Aptos"/>
          <w:color w:val="17212B"/>
          <w:sz w:val="20"/>
        </w:rPr>
        <w:t>Name the account owner, primary administrator, billing owner, recovery method, and accountable entity before use.</w:t>
      </w:r>
    </w:p>
    <w:p>
      <w:pPr>
        <w:pStyle w:val="ListBullet"/>
      </w:pPr>
      <w:r>
        <w:rPr>
          <w:rFonts w:ascii="Aptos" w:hAnsi="Aptos"/>
          <w:color w:val="17212B"/>
          <w:sz w:val="20"/>
        </w:rPr>
        <w:t>Grant the minimum role needed for the work and time period. Avoid shared credentials.</w:t>
      </w:r>
    </w:p>
    <w:p>
      <w:pPr>
        <w:pStyle w:val="ListBullet"/>
      </w:pPr>
      <w:r>
        <w:rPr>
          <w:rFonts w:ascii="Aptos" w:hAnsi="Aptos"/>
          <w:color w:val="17212B"/>
          <w:sz w:val="20"/>
        </w:rPr>
        <w:t>Use multi-factor authentication and owner-controlled recovery. The owner completes Touch ID, password, or other direct authentication when required.</w:t>
      </w:r>
    </w:p>
    <w:p>
      <w:pPr>
        <w:pStyle w:val="ListBullet"/>
      </w:pPr>
      <w:r>
        <w:rPr>
          <w:rFonts w:ascii="Aptos" w:hAnsi="Aptos"/>
          <w:color w:val="17212B"/>
          <w:sz w:val="20"/>
        </w:rPr>
        <w:t>Require approval before creating, purchasing, connecting, disconnecting, transferring, deleting, or changing an account, provider, role, credential, domain, billing setting, or permission.</w:t>
      </w:r>
    </w:p>
    <w:p>
      <w:pPr>
        <w:pStyle w:val="ListBullet"/>
      </w:pPr>
      <w:r>
        <w:rPr>
          <w:rFonts w:ascii="Aptos" w:hAnsi="Aptos"/>
          <w:color w:val="17212B"/>
          <w:sz w:val="20"/>
        </w:rPr>
        <w:t>Maintain an access register with account, entity, owner, admins, roles, approval, grant date, review date, and removal evidence.</w:t>
      </w:r>
    </w:p>
    <w:p>
      <w:pPr>
        <w:pStyle w:val="ListBullet"/>
      </w:pPr>
      <w:r>
        <w:rPr>
          <w:rFonts w:ascii="Aptos" w:hAnsi="Aptos"/>
          <w:color w:val="17212B"/>
          <w:sz w:val="20"/>
        </w:rPr>
        <w:t>Verify changes through provider readback. A request, invitation, or successful login does not prove the intended ownership or permission state.</w:t>
      </w:r>
    </w:p>
    <w:p>
      <w:pPr>
        <w:pStyle w:val="Heading2"/>
      </w:pPr>
      <w:r>
        <w:t>11.2 System-change procedure</w:t>
      </w:r>
    </w:p>
    <w:p>
      <w:pPr>
        <w:pStyle w:val="Checklist"/>
      </w:pPr>
      <w:r>
        <w:rPr>
          <w:rFonts w:ascii="Arial" w:hAnsi="Arial"/>
          <w:color w:val="2E74B5"/>
          <w:sz w:val="21"/>
        </w:rPr>
        <w:t xml:space="preserve">☐  </w:t>
      </w:r>
      <w:r>
        <w:rPr>
          <w:rFonts w:ascii="Aptos" w:hAnsi="Aptos"/>
          <w:color w:val="17212B"/>
          <w:sz w:val="20"/>
        </w:rPr>
        <w:t>Current owner, administrators, billing, integrations, data, and recovery path are inventoried.</w:t>
      </w:r>
    </w:p>
    <w:p>
      <w:pPr>
        <w:pStyle w:val="Checklist"/>
      </w:pPr>
      <w:r>
        <w:rPr>
          <w:rFonts w:ascii="Arial" w:hAnsi="Arial"/>
          <w:color w:val="2E74B5"/>
          <w:sz w:val="21"/>
        </w:rPr>
        <w:t xml:space="preserve">☐  </w:t>
      </w:r>
      <w:r>
        <w:rPr>
          <w:rFonts w:ascii="Aptos" w:hAnsi="Aptos"/>
          <w:color w:val="17212B"/>
          <w:sz w:val="20"/>
        </w:rPr>
        <w:t>Business outcome and rollback plan are documented.</w:t>
      </w:r>
    </w:p>
    <w:p>
      <w:pPr>
        <w:pStyle w:val="Checklist"/>
      </w:pPr>
      <w:r>
        <w:rPr>
          <w:rFonts w:ascii="Arial" w:hAnsi="Arial"/>
          <w:color w:val="2E74B5"/>
          <w:sz w:val="21"/>
        </w:rPr>
        <w:t xml:space="preserve">☐  </w:t>
      </w:r>
      <w:r>
        <w:rPr>
          <w:rFonts w:ascii="Aptos" w:hAnsi="Aptos"/>
          <w:color w:val="17212B"/>
          <w:sz w:val="20"/>
        </w:rPr>
        <w:t>Security, privacy, data-location, entity, cost, and downstream effects are reviewed.</w:t>
      </w:r>
    </w:p>
    <w:p>
      <w:pPr>
        <w:pStyle w:val="Checklist"/>
      </w:pPr>
      <w:r>
        <w:rPr>
          <w:rFonts w:ascii="Arial" w:hAnsi="Arial"/>
          <w:color w:val="2E74B5"/>
          <w:sz w:val="21"/>
        </w:rPr>
        <w:t xml:space="preserve">☐  </w:t>
      </w:r>
      <w:r>
        <w:rPr>
          <w:rFonts w:ascii="Aptos" w:hAnsi="Aptos"/>
          <w:color w:val="17212B"/>
          <w:sz w:val="20"/>
        </w:rPr>
        <w:t>Exact change is approved.</w:t>
      </w:r>
    </w:p>
    <w:p>
      <w:pPr>
        <w:pStyle w:val="Checklist"/>
      </w:pPr>
      <w:r>
        <w:rPr>
          <w:rFonts w:ascii="Arial" w:hAnsi="Arial"/>
          <w:color w:val="2E74B5"/>
          <w:sz w:val="21"/>
        </w:rPr>
        <w:t xml:space="preserve">☐  </w:t>
      </w:r>
      <w:r>
        <w:rPr>
          <w:rFonts w:ascii="Aptos" w:hAnsi="Aptos"/>
          <w:color w:val="17212B"/>
          <w:sz w:val="20"/>
        </w:rPr>
        <w:t>Backup/export or preservation step is complete where needed.</w:t>
      </w:r>
    </w:p>
    <w:p>
      <w:pPr>
        <w:pStyle w:val="Checklist"/>
      </w:pPr>
      <w:r>
        <w:rPr>
          <w:rFonts w:ascii="Arial" w:hAnsi="Arial"/>
          <w:color w:val="2E74B5"/>
          <w:sz w:val="21"/>
        </w:rPr>
        <w:t xml:space="preserve">☐  </w:t>
      </w:r>
      <w:r>
        <w:rPr>
          <w:rFonts w:ascii="Aptos" w:hAnsi="Aptos"/>
          <w:color w:val="17212B"/>
          <w:sz w:val="20"/>
        </w:rPr>
        <w:t>Change is executed by an authorized person and verified by readback.</w:t>
      </w:r>
    </w:p>
    <w:p>
      <w:pPr>
        <w:pStyle w:val="Checklist"/>
      </w:pPr>
      <w:r>
        <w:rPr>
          <w:rFonts w:ascii="Arial" w:hAnsi="Arial"/>
          <w:color w:val="2E74B5"/>
          <w:sz w:val="21"/>
        </w:rPr>
        <w:t xml:space="preserve">☐  </w:t>
      </w:r>
      <w:r>
        <w:rPr>
          <w:rFonts w:ascii="Aptos" w:hAnsi="Aptos"/>
          <w:color w:val="17212B"/>
          <w:sz w:val="20"/>
        </w:rPr>
        <w:t>Access register, system inventory, and affected procedures are updated.</w:t>
      </w:r>
    </w:p>
    <w:p>
      <w:pPr>
        <w:pStyle w:val="Heading1"/>
        <w:pageBreakBefore/>
      </w:pPr>
      <w:r>
        <w:t>12. Equipment and Asset Custody</w:t>
      </w:r>
    </w:p>
    <w:p>
      <w:pPr>
        <w:pStyle w:val="Heading2"/>
      </w:pPr>
      <w:r>
        <w:t>12.1 Asset lifecycle</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1800"/>
        <w:gridCol w:w="7560"/>
      </w:tblGrid>
      <w:tr>
        <w:trPr>
          <w:tblHeader w:val="true"/>
        </w:trPr>
        <w:tc>
          <w:tcPr>
            <w:tcW w:type="dxa" w:w="1800"/>
            <w:tcMar>
              <w:top w:w="100" w:type="dxa"/>
              <w:start w:w="120" w:type="dxa"/>
              <w:bottom w:w="100" w:type="dxa"/>
              <w:end w:w="120" w:type="dxa"/>
            </w:tcMar>
            <w:vAlign w:val="center"/>
            <w:shd w:fill="17365D"/>
          </w:tcPr>
          <w:p>
            <w:pPr>
              <w:spacing w:after="0"/>
              <w:ind w:left="0" w:firstLine="0"/>
            </w:pPr>
            <w:r>
              <w:rPr>
                <w:rFonts w:ascii="Aptos" w:hAnsi="Aptos"/>
                <w:b/>
                <w:color w:val="FFFFFF"/>
                <w:sz w:val="18"/>
              </w:rPr>
              <w:t>Stage</w:t>
            </w:r>
          </w:p>
        </w:tc>
        <w:tc>
          <w:tcPr>
            <w:tcW w:type="dxa" w:w="7560"/>
            <w:tcMar>
              <w:top w:w="100" w:type="dxa"/>
              <w:start w:w="120" w:type="dxa"/>
              <w:bottom w:w="100" w:type="dxa"/>
              <w:end w:w="120" w:type="dxa"/>
            </w:tcMar>
            <w:vAlign w:val="center"/>
            <w:shd w:fill="17365D"/>
          </w:tcPr>
          <w:p>
            <w:pPr>
              <w:spacing w:after="0"/>
              <w:ind w:left="0" w:firstLine="0"/>
            </w:pPr>
            <w:r>
              <w:rPr>
                <w:rFonts w:ascii="Aptos" w:hAnsi="Aptos"/>
                <w:b/>
                <w:color w:val="FFFFFF"/>
                <w:sz w:val="18"/>
              </w:rPr>
              <w:t>Required control</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Receive</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Inspect, photograph exceptions, match invoice and contents, and resolve discrepancies.</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Record</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Create the restricted asset record with owner, asset ID, serial, cost, coverage, accessories, condition, custodian, and status.</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Configure</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Apply current Company security and management controls; test basic operation, backup/sync, and required access.</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Release</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Provide applicable guides/notices, approve custody transfer, record shipment or handoff, and verify receipt.</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Operate</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Maintain care, security, inventory, support, incident reporting, and authorized changes.</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Recover</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Issue return instructions, preserve data, reconcile items, remove access, inspect condition, and record custody.</w:t>
            </w:r>
          </w:p>
        </w:tc>
      </w:tr>
      <w:tr>
        <w:tc>
          <w:tcPr>
            <w:tcW w:type="dxa" w:w="1800"/>
            <w:tcMar>
              <w:top w:w="100" w:type="dxa"/>
              <w:start w:w="120" w:type="dxa"/>
              <w:bottom w:w="100" w:type="dxa"/>
              <w:end w:w="120" w:type="dxa"/>
            </w:tcMar>
            <w:vAlign w:val="center"/>
          </w:tcPr>
          <w:p>
            <w:pPr>
              <w:spacing w:after="0"/>
              <w:ind w:left="0" w:firstLine="0"/>
            </w:pPr>
            <w:r>
              <w:rPr>
                <w:rFonts w:ascii="Aptos" w:hAnsi="Aptos"/>
                <w:b w:val="0"/>
                <w:color w:val="17212B"/>
                <w:sz w:val="18"/>
              </w:rPr>
              <w:t>Dispose / reassign</w:t>
            </w:r>
          </w:p>
        </w:tc>
        <w:tc>
          <w:tcPr>
            <w:tcW w:type="dxa" w:w="7560"/>
            <w:tcMar>
              <w:top w:w="100" w:type="dxa"/>
              <w:start w:w="120" w:type="dxa"/>
              <w:bottom w:w="100" w:type="dxa"/>
              <w:end w:w="120" w:type="dxa"/>
            </w:tcMar>
            <w:vAlign w:val="center"/>
          </w:tcPr>
          <w:p>
            <w:pPr>
              <w:spacing w:after="0"/>
              <w:ind w:left="0" w:firstLine="0"/>
            </w:pPr>
            <w:r>
              <w:rPr>
                <w:rFonts w:ascii="Aptos" w:hAnsi="Aptos"/>
                <w:b w:val="0"/>
                <w:color w:val="17212B"/>
                <w:sz w:val="18"/>
              </w:rPr>
              <w:t>Only an authorized Company approver may approve sale, trade, donation, recycling, disposal, or reassignment.</w:t>
            </w:r>
          </w:p>
        </w:tc>
      </w:tr>
    </w:tbl>
    <w:p>
      <w:pPr>
        <w:spacing w:after="0" w:line="20" w:lineRule="exact"/>
      </w:pPr>
      <w:r>
        <w:rPr>
          <w:rFonts w:ascii="Aptos" w:hAnsi="Aptos"/>
          <w:color w:val="FFFFFF"/>
          <w:sz w:val="2"/>
        </w:rPr>
        <w:t xml:space="preserve"> </w:t>
      </w:r>
    </w:p>
    <w:p>
      <w:pPr>
        <w:pStyle w:val="Heading2"/>
      </w:pPr>
      <w:r>
        <w:t>12.2 Companion procedure</w:t>
      </w:r>
    </w:p>
    <w:p>
      <w:pPr/>
      <w:r>
        <w:rPr>
          <w:rFonts w:ascii="Aptos" w:hAnsi="Aptos"/>
          <w:color w:val="17212B"/>
          <w:sz w:val="21"/>
        </w:rPr>
        <w:t>Use the Equipment Custody and Return Agreement and the device and custody register for future equipment issued by this business. Preserve the current handoff directions for already retained equipment. Keep serial numbers, invoices, credentials, condition photos and detailed custody history in restricted records, not this manual.</w:t>
      </w:r>
    </w:p>
    <w:tbl>
      <w:tblPr>
        <w:tblW w:type="dxa" w:w="9360"/>
        <w:jc w:val="left"/>
        <w:tblLayout w:type="fixed"/>
        <w:tblLook w:firstColumn="1" w:firstRow="1" w:lastColumn="0" w:lastRow="0" w:noHBand="0" w:noVBand="1" w:val="04A0"/>
        <w:tblInd w:w="120" w:type="dxa"/>
        <w:tblBorders>
          <w:top w:val="single" w:sz="8" w:space="0" w:color="8A6500"/>
          <w:left w:val="single" w:sz="8" w:space="0" w:color="8A6500"/>
          <w:bottom w:val="single" w:sz="8" w:space="0" w:color="8A6500"/>
          <w:right w:val="single" w:sz="8" w:space="0" w:color="8A6500"/>
          <w:insideH w:val="single" w:sz="8" w:space="0" w:color="8A6500"/>
          <w:insideV w:val="single" w:sz="8" w:space="0" w:color="8A6500"/>
        </w:tblBorders>
      </w:tblPr>
      <w:tblGrid>
        <w:gridCol w:w="9360"/>
      </w:tblGrid>
      <w:tr>
        <w:trPr>
          <w:tblHeader w:val="true"/>
        </w:trPr>
        <w:tc>
          <w:tcPr>
            <w:tcW w:type="dxa" w:w="9360"/>
            <w:tcMar>
              <w:top w:w="130" w:type="dxa"/>
              <w:start w:w="180" w:type="dxa"/>
              <w:bottom w:w="130" w:type="dxa"/>
              <w:end w:w="180" w:type="dxa"/>
            </w:tcMar>
            <w:vAlign w:val="center"/>
            <w:shd w:fill="FFF6D8"/>
          </w:tcPr>
          <w:p>
            <w:pPr>
              <w:spacing w:after="0"/>
            </w:pPr>
            <w:r>
              <w:rPr>
                <w:rFonts w:ascii="Aptos" w:hAnsi="Aptos"/>
                <w:b/>
                <w:color w:val="8A6500"/>
                <w:sz w:val="19"/>
              </w:rPr>
              <w:t xml:space="preserve">COUNSEL / OWNER REVIEW  </w:t>
            </w:r>
            <w:r>
              <w:rPr>
                <w:rFonts w:ascii="Aptos" w:hAnsi="Aptos"/>
                <w:color w:val="17212B"/>
                <w:sz w:val="19"/>
              </w:rPr>
              <w:t>Monitoring, device-management notices, location features, remote wipe, privacy expectations, and worker-location requirements must be reviewed for the actual configuration before activation. The owner approves shipping, coverage changes, repair payments, wiping, and final disposition.</w:t>
            </w:r>
          </w:p>
        </w:tc>
      </w:tr>
    </w:tbl>
    <w:p>
      <w:pPr>
        <w:spacing w:after="20"/>
      </w:pPr>
    </w:p>
    <w:p>
      <w:pPr>
        <w:pStyle w:val="Heading1"/>
        <w:pageBreakBefore/>
      </w:pPr>
      <w:r>
        <w:t>13. Incident, Exception, and Escalation Management</w:t>
      </w:r>
    </w:p>
    <w:p>
      <w:pPr>
        <w:pStyle w:val="Heading2"/>
      </w:pPr>
      <w:r>
        <w:t>13.1 Immediate sequence</w:t>
      </w:r>
    </w:p>
    <w:p>
      <w:pPr>
        <w:spacing w:after="80" w:line="276" w:lineRule="auto"/>
        <w:numPr>
          <w:ilvl w:val="0"/>
          <w:numId w:val="15"/>
        </w:numPr>
      </w:pPr>
      <w:r>
        <w:rPr>
          <w:rFonts w:ascii="Aptos" w:hAnsi="Aptos"/>
          <w:color w:val="17212B"/>
          <w:sz w:val="20"/>
        </w:rPr>
        <w:t>Protect people and move to a safe condition.</w:t>
      </w:r>
    </w:p>
    <w:p>
      <w:pPr>
        <w:spacing w:after="80" w:line="276" w:lineRule="auto"/>
        <w:numPr>
          <w:ilvl w:val="0"/>
          <w:numId w:val="15"/>
        </w:numPr>
      </w:pPr>
      <w:r>
        <w:rPr>
          <w:rFonts w:ascii="Aptos" w:hAnsi="Aptos"/>
          <w:color w:val="17212B"/>
          <w:sz w:val="20"/>
        </w:rPr>
        <w:t>Contain further loss when safe and authorized; do not destroy evidence or make an unapproved irreversible change.</w:t>
      </w:r>
    </w:p>
    <w:p>
      <w:pPr>
        <w:spacing w:after="80" w:line="276" w:lineRule="auto"/>
        <w:numPr>
          <w:ilvl w:val="0"/>
          <w:numId w:val="15"/>
        </w:numPr>
      </w:pPr>
      <w:r>
        <w:rPr>
          <w:rFonts w:ascii="Aptos" w:hAnsi="Aptos"/>
          <w:color w:val="17212B"/>
          <w:sz w:val="20"/>
        </w:rPr>
        <w:t>Notify the accountable owner through the approved channel with known facts and uncertainty.</w:t>
      </w:r>
    </w:p>
    <w:p>
      <w:pPr>
        <w:spacing w:after="80" w:line="276" w:lineRule="auto"/>
        <w:numPr>
          <w:ilvl w:val="0"/>
          <w:numId w:val="15"/>
        </w:numPr>
      </w:pPr>
      <w:r>
        <w:rPr>
          <w:rFonts w:ascii="Aptos" w:hAnsi="Aptos"/>
          <w:color w:val="17212B"/>
          <w:sz w:val="20"/>
        </w:rPr>
        <w:t>Preserve timestamps, messages, logs, photos, tracking, receipts, affected assets/accounts, and chain of custody.</w:t>
      </w:r>
    </w:p>
    <w:p>
      <w:pPr>
        <w:spacing w:after="80" w:line="276" w:lineRule="auto"/>
        <w:numPr>
          <w:ilvl w:val="0"/>
          <w:numId w:val="15"/>
        </w:numPr>
      </w:pPr>
      <w:r>
        <w:rPr>
          <w:rFonts w:ascii="Aptos" w:hAnsi="Aptos"/>
          <w:color w:val="17212B"/>
          <w:sz w:val="20"/>
        </w:rPr>
        <w:t>Classify the incident and engage the appropriate provider, broker, counsel, CPA, payroll professional, regulator, law enforcement, carrier, or vendor only with required authority.</w:t>
      </w:r>
    </w:p>
    <w:p>
      <w:pPr>
        <w:spacing w:after="80" w:line="276" w:lineRule="auto"/>
        <w:numPr>
          <w:ilvl w:val="0"/>
          <w:numId w:val="15"/>
        </w:numPr>
      </w:pPr>
      <w:r>
        <w:rPr>
          <w:rFonts w:ascii="Aptos" w:hAnsi="Aptos"/>
          <w:color w:val="17212B"/>
          <w:sz w:val="20"/>
        </w:rPr>
        <w:t>Record decisions, actions, approval, external reports, recovery, remaining exposure, and follow-up owner.</w:t>
      </w:r>
    </w:p>
    <w:p>
      <w:pPr>
        <w:pStyle w:val="Heading2"/>
      </w:pPr>
      <w:r>
        <w:t>13.2 Incident routing</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350"/>
        <w:gridCol w:w="7010"/>
      </w:tblGrid>
      <w:tr>
        <w:trPr>
          <w:tblHeader w:val="true"/>
        </w:trPr>
        <w:tc>
          <w:tcPr>
            <w:tcW w:type="dxa" w:w="2350"/>
            <w:tcMar>
              <w:top w:w="100" w:type="dxa"/>
              <w:start w:w="120" w:type="dxa"/>
              <w:bottom w:w="100" w:type="dxa"/>
              <w:end w:w="120" w:type="dxa"/>
            </w:tcMar>
            <w:vAlign w:val="center"/>
            <w:shd w:fill="17365D"/>
          </w:tcPr>
          <w:p>
            <w:pPr>
              <w:spacing w:after="0"/>
              <w:ind w:left="0" w:firstLine="0"/>
            </w:pPr>
            <w:r>
              <w:rPr>
                <w:rFonts w:ascii="Aptos" w:hAnsi="Aptos"/>
                <w:b/>
                <w:color w:val="FFFFFF"/>
                <w:sz w:val="17"/>
              </w:rPr>
              <w:t>Incident</w:t>
            </w:r>
          </w:p>
        </w:tc>
        <w:tc>
          <w:tcPr>
            <w:tcW w:type="dxa" w:w="7010"/>
            <w:tcMar>
              <w:top w:w="100" w:type="dxa"/>
              <w:start w:w="120" w:type="dxa"/>
              <w:bottom w:w="100" w:type="dxa"/>
              <w:end w:w="120" w:type="dxa"/>
            </w:tcMar>
            <w:vAlign w:val="center"/>
            <w:shd w:fill="17365D"/>
          </w:tcPr>
          <w:p>
            <w:pPr>
              <w:spacing w:after="0"/>
              <w:ind w:left="0" w:firstLine="0"/>
            </w:pPr>
            <w:r>
              <w:rPr>
                <w:rFonts w:ascii="Aptos" w:hAnsi="Aptos"/>
                <w:b/>
                <w:color w:val="FFFFFF"/>
                <w:sz w:val="17"/>
              </w:rPr>
              <w:t>Initial operating response</w:t>
            </w:r>
          </w:p>
        </w:tc>
      </w:tr>
      <w:tr>
        <w:tc>
          <w:tcPr>
            <w:tcW w:type="dxa" w:w="2350"/>
            <w:tcMar>
              <w:top w:w="100" w:type="dxa"/>
              <w:start w:w="120" w:type="dxa"/>
              <w:bottom w:w="100" w:type="dxa"/>
              <w:end w:w="120" w:type="dxa"/>
            </w:tcMar>
            <w:vAlign w:val="center"/>
          </w:tcPr>
          <w:p>
            <w:pPr>
              <w:spacing w:after="0"/>
              <w:ind w:left="0" w:firstLine="0"/>
            </w:pPr>
            <w:r>
              <w:rPr>
                <w:rFonts w:ascii="Aptos" w:hAnsi="Aptos"/>
                <w:b w:val="0"/>
                <w:color w:val="17212B"/>
                <w:sz w:val="17"/>
              </w:rPr>
              <w:t>Safety or injury</w:t>
            </w:r>
          </w:p>
        </w:tc>
        <w:tc>
          <w:tcPr>
            <w:tcW w:type="dxa" w:w="7010"/>
            <w:tcMar>
              <w:top w:w="100" w:type="dxa"/>
              <w:start w:w="120" w:type="dxa"/>
              <w:bottom w:w="100" w:type="dxa"/>
              <w:end w:w="120" w:type="dxa"/>
            </w:tcMar>
            <w:vAlign w:val="center"/>
          </w:tcPr>
          <w:p>
            <w:pPr>
              <w:spacing w:after="0"/>
              <w:ind w:left="0" w:firstLine="0"/>
            </w:pPr>
            <w:r>
              <w:rPr>
                <w:rFonts w:ascii="Aptos" w:hAnsi="Aptos"/>
                <w:b w:val="0"/>
                <w:color w:val="17212B"/>
                <w:sz w:val="17"/>
              </w:rPr>
              <w:t>Protect people; contact emergency services when needed; preserve facts; route required workplace, insurance, or legal handling to qualified reviewers.</w:t>
            </w:r>
          </w:p>
        </w:tc>
      </w:tr>
      <w:tr>
        <w:tc>
          <w:tcPr>
            <w:tcW w:type="dxa" w:w="2350"/>
            <w:tcMar>
              <w:top w:w="100" w:type="dxa"/>
              <w:start w:w="120" w:type="dxa"/>
              <w:bottom w:w="100" w:type="dxa"/>
              <w:end w:w="120" w:type="dxa"/>
            </w:tcMar>
            <w:vAlign w:val="center"/>
          </w:tcPr>
          <w:p>
            <w:pPr>
              <w:spacing w:after="0"/>
              <w:ind w:left="0" w:firstLine="0"/>
            </w:pPr>
            <w:r>
              <w:rPr>
                <w:rFonts w:ascii="Aptos" w:hAnsi="Aptos"/>
                <w:b w:val="0"/>
                <w:color w:val="17212B"/>
                <w:sz w:val="17"/>
              </w:rPr>
              <w:t>Security or account access</w:t>
            </w:r>
          </w:p>
        </w:tc>
        <w:tc>
          <w:tcPr>
            <w:tcW w:type="dxa" w:w="7010"/>
            <w:tcMar>
              <w:top w:w="100" w:type="dxa"/>
              <w:start w:w="120" w:type="dxa"/>
              <w:bottom w:w="100" w:type="dxa"/>
              <w:end w:w="120" w:type="dxa"/>
            </w:tcMar>
            <w:vAlign w:val="center"/>
          </w:tcPr>
          <w:p>
            <w:pPr>
              <w:spacing w:after="0"/>
              <w:ind w:left="0" w:firstLine="0"/>
            </w:pPr>
            <w:r>
              <w:rPr>
                <w:rFonts w:ascii="Aptos" w:hAnsi="Aptos"/>
                <w:b w:val="0"/>
                <w:color w:val="17212B"/>
                <w:sz w:val="17"/>
              </w:rPr>
              <w:t>Use a trusted device; preserve evidence; consider credential reset, session revocation, suspension, isolation, or lock only as authorized.</w:t>
            </w:r>
          </w:p>
        </w:tc>
      </w:tr>
      <w:tr>
        <w:tc>
          <w:tcPr>
            <w:tcW w:type="dxa" w:w="2350"/>
            <w:tcMar>
              <w:top w:w="100" w:type="dxa"/>
              <w:start w:w="120" w:type="dxa"/>
              <w:bottom w:w="100" w:type="dxa"/>
              <w:end w:w="120" w:type="dxa"/>
            </w:tcMar>
            <w:vAlign w:val="center"/>
          </w:tcPr>
          <w:p>
            <w:pPr>
              <w:spacing w:after="0"/>
              <w:ind w:left="0" w:firstLine="0"/>
            </w:pPr>
            <w:r>
              <w:rPr>
                <w:rFonts w:ascii="Aptos" w:hAnsi="Aptos"/>
                <w:b w:val="0"/>
                <w:color w:val="17212B"/>
                <w:sz w:val="17"/>
              </w:rPr>
              <w:t>Lost, stolen, or damaged equipment</w:t>
            </w:r>
          </w:p>
        </w:tc>
        <w:tc>
          <w:tcPr>
            <w:tcW w:type="dxa" w:w="7010"/>
            <w:tcMar>
              <w:top w:w="100" w:type="dxa"/>
              <w:start w:w="120" w:type="dxa"/>
              <w:bottom w:w="100" w:type="dxa"/>
              <w:end w:w="120" w:type="dxa"/>
            </w:tcMar>
            <w:vAlign w:val="center"/>
          </w:tcPr>
          <w:p>
            <w:pPr>
              <w:spacing w:after="0"/>
              <w:ind w:left="0" w:firstLine="0"/>
            </w:pPr>
            <w:r>
              <w:rPr>
                <w:rFonts w:ascii="Aptos" w:hAnsi="Aptos"/>
                <w:b w:val="0"/>
                <w:color w:val="17212B"/>
                <w:sz w:val="17"/>
              </w:rPr>
              <w:t>Preserve last-known circumstances and condition; protect accounts/data; coordinate custody, carrier, police, warranty, or insurance response.</w:t>
            </w:r>
          </w:p>
        </w:tc>
      </w:tr>
      <w:tr>
        <w:tc>
          <w:tcPr>
            <w:tcW w:type="dxa" w:w="2350"/>
            <w:tcMar>
              <w:top w:w="100" w:type="dxa"/>
              <w:start w:w="120" w:type="dxa"/>
              <w:bottom w:w="100" w:type="dxa"/>
              <w:end w:w="120" w:type="dxa"/>
            </w:tcMar>
            <w:vAlign w:val="center"/>
          </w:tcPr>
          <w:p>
            <w:pPr>
              <w:spacing w:after="0"/>
              <w:ind w:left="0" w:firstLine="0"/>
            </w:pPr>
            <w:r>
              <w:rPr>
                <w:rFonts w:ascii="Aptos" w:hAnsi="Aptos"/>
                <w:b w:val="0"/>
                <w:color w:val="17212B"/>
                <w:sz w:val="17"/>
              </w:rPr>
              <w:t>Misdelivery or disclosure</w:t>
            </w:r>
          </w:p>
        </w:tc>
        <w:tc>
          <w:tcPr>
            <w:tcW w:type="dxa" w:w="7010"/>
            <w:tcMar>
              <w:top w:w="100" w:type="dxa"/>
              <w:start w:w="120" w:type="dxa"/>
              <w:bottom w:w="100" w:type="dxa"/>
              <w:end w:w="120" w:type="dxa"/>
            </w:tcMar>
            <w:vAlign w:val="center"/>
          </w:tcPr>
          <w:p>
            <w:pPr>
              <w:spacing w:after="0"/>
              <w:ind w:left="0" w:firstLine="0"/>
            </w:pPr>
            <w:r>
              <w:rPr>
                <w:rFonts w:ascii="Aptos" w:hAnsi="Aptos"/>
                <w:b w:val="0"/>
                <w:color w:val="17212B"/>
                <w:sz w:val="17"/>
              </w:rPr>
              <w:t>Stop further sharing; preserve recipient and content details; assess affected data and accounts; obtain privacy/legal guidance where required.</w:t>
            </w:r>
          </w:p>
        </w:tc>
      </w:tr>
      <w:tr>
        <w:tc>
          <w:tcPr>
            <w:tcW w:type="dxa" w:w="2350"/>
            <w:tcMar>
              <w:top w:w="100" w:type="dxa"/>
              <w:start w:w="120" w:type="dxa"/>
              <w:bottom w:w="100" w:type="dxa"/>
              <w:end w:w="120" w:type="dxa"/>
            </w:tcMar>
            <w:vAlign w:val="center"/>
          </w:tcPr>
          <w:p>
            <w:pPr>
              <w:spacing w:after="0"/>
              <w:ind w:left="0" w:firstLine="0"/>
            </w:pPr>
            <w:r>
              <w:rPr>
                <w:rFonts w:ascii="Aptos" w:hAnsi="Aptos"/>
                <w:b w:val="0"/>
                <w:color w:val="17212B"/>
                <w:sz w:val="17"/>
              </w:rPr>
              <w:t>Financial error or suspicious payment</w:t>
            </w:r>
          </w:p>
        </w:tc>
        <w:tc>
          <w:tcPr>
            <w:tcW w:type="dxa" w:w="7010"/>
            <w:tcMar>
              <w:top w:w="100" w:type="dxa"/>
              <w:start w:w="120" w:type="dxa"/>
              <w:bottom w:w="100" w:type="dxa"/>
              <w:end w:w="120" w:type="dxa"/>
            </w:tcMar>
            <w:vAlign w:val="center"/>
          </w:tcPr>
          <w:p>
            <w:pPr>
              <w:spacing w:after="0"/>
              <w:ind w:left="0" w:firstLine="0"/>
            </w:pPr>
            <w:r>
              <w:rPr>
                <w:rFonts w:ascii="Aptos" w:hAnsi="Aptos"/>
                <w:b w:val="0"/>
                <w:color w:val="17212B"/>
                <w:sz w:val="17"/>
              </w:rPr>
              <w:t>Do not compound the transaction; preserve records; notify owner and financial institution/provider through an authorized channel.</w:t>
            </w:r>
          </w:p>
        </w:tc>
      </w:tr>
      <w:tr>
        <w:tc>
          <w:tcPr>
            <w:tcW w:type="dxa" w:w="2350"/>
            <w:tcMar>
              <w:top w:w="100" w:type="dxa"/>
              <w:start w:w="120" w:type="dxa"/>
              <w:bottom w:w="100" w:type="dxa"/>
              <w:end w:w="120" w:type="dxa"/>
            </w:tcMar>
            <w:vAlign w:val="center"/>
          </w:tcPr>
          <w:p>
            <w:pPr>
              <w:spacing w:after="0"/>
              <w:ind w:left="0" w:firstLine="0"/>
            </w:pPr>
            <w:r>
              <w:rPr>
                <w:rFonts w:ascii="Aptos" w:hAnsi="Aptos"/>
                <w:b w:val="0"/>
                <w:color w:val="17212B"/>
                <w:sz w:val="17"/>
              </w:rPr>
              <w:t>Document or source conflict</w:t>
            </w:r>
          </w:p>
        </w:tc>
        <w:tc>
          <w:tcPr>
            <w:tcW w:type="dxa" w:w="7010"/>
            <w:tcMar>
              <w:top w:w="100" w:type="dxa"/>
              <w:start w:w="120" w:type="dxa"/>
              <w:bottom w:w="100" w:type="dxa"/>
              <w:end w:w="120" w:type="dxa"/>
            </w:tcMar>
            <w:vAlign w:val="center"/>
          </w:tcPr>
          <w:p>
            <w:pPr>
              <w:spacing w:after="0"/>
              <w:ind w:left="0" w:firstLine="0"/>
            </w:pPr>
            <w:r>
              <w:rPr>
                <w:rFonts w:ascii="Aptos" w:hAnsi="Aptos"/>
                <w:b w:val="0"/>
                <w:color w:val="17212B"/>
                <w:sz w:val="17"/>
              </w:rPr>
              <w:t>Pause reliance; preserve versions; identify the owner and authoritative source; record the resolution and update downstream work.</w:t>
            </w:r>
          </w:p>
        </w:tc>
      </w:tr>
    </w:tbl>
    <w:p>
      <w:pPr>
        <w:spacing w:after="0" w:line="20" w:lineRule="exact"/>
      </w:pPr>
      <w:r>
        <w:rPr>
          <w:rFonts w:ascii="Aptos" w:hAnsi="Aptos"/>
          <w:color w:val="FFFFFF"/>
          <w:sz w:val="2"/>
        </w:rPr>
        <w:t xml:space="preserve"> </w:t>
      </w:r>
    </w:p>
    <w:p>
      <w:pPr>
        <w:pStyle w:val="Heading2"/>
      </w:pPr>
      <w:r>
        <w:t>13.3 Exception record</w:t>
      </w:r>
    </w:p>
    <w:p>
      <w:pPr/>
      <w:r>
        <w:rPr>
          <w:rFonts w:ascii="Aptos" w:hAnsi="Aptos"/>
          <w:color w:val="17212B"/>
          <w:sz w:val="21"/>
        </w:rPr>
        <w:t>Record the expected control, actual condition, affected entity/object, date, impact, temporary safeguard, decision owner, approval, expiration or review date, corrective action, and proof of closure. Exceptions do not silently become policy.</w:t>
      </w:r>
    </w:p>
    <w:p>
      <w:pPr>
        <w:pStyle w:val="Heading1"/>
        <w:pageBreakBefore/>
      </w:pPr>
      <w:r>
        <w:t>14. Quality Assurance and Definition of Done</w:t>
      </w:r>
    </w:p>
    <w:p>
      <w:pPr>
        <w:pStyle w:val="Heading2"/>
      </w:pPr>
      <w:r>
        <w:t>14.1 Verification by artifact type</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450"/>
        <w:gridCol w:w="6910"/>
      </w:tblGrid>
      <w:tr>
        <w:trPr>
          <w:tblHeader w:val="true"/>
        </w:trPr>
        <w:tc>
          <w:tcPr>
            <w:tcW w:type="dxa" w:w="2450"/>
            <w:tcMar>
              <w:top w:w="100" w:type="dxa"/>
              <w:start w:w="120" w:type="dxa"/>
              <w:bottom w:w="100" w:type="dxa"/>
              <w:end w:w="120" w:type="dxa"/>
            </w:tcMar>
            <w:vAlign w:val="center"/>
            <w:shd w:fill="17365D"/>
          </w:tcPr>
          <w:p>
            <w:pPr>
              <w:spacing w:after="0"/>
              <w:ind w:left="0" w:firstLine="0"/>
            </w:pPr>
            <w:r>
              <w:rPr>
                <w:rFonts w:ascii="Aptos" w:hAnsi="Aptos"/>
                <w:b/>
                <w:color w:val="FFFFFF"/>
                <w:sz w:val="18"/>
              </w:rPr>
              <w:t>Work type</w:t>
            </w:r>
          </w:p>
        </w:tc>
        <w:tc>
          <w:tcPr>
            <w:tcW w:type="dxa" w:w="6910"/>
            <w:tcMar>
              <w:top w:w="100" w:type="dxa"/>
              <w:start w:w="120" w:type="dxa"/>
              <w:bottom w:w="100" w:type="dxa"/>
              <w:end w:w="120" w:type="dxa"/>
            </w:tcMar>
            <w:vAlign w:val="center"/>
            <w:shd w:fill="17365D"/>
          </w:tcPr>
          <w:p>
            <w:pPr>
              <w:spacing w:after="0"/>
              <w:ind w:left="0" w:firstLine="0"/>
            </w:pPr>
            <w:r>
              <w:rPr>
                <w:rFonts w:ascii="Aptos" w:hAnsi="Aptos"/>
                <w:b/>
                <w:color w:val="FFFFFF"/>
                <w:sz w:val="18"/>
              </w:rPr>
              <w:t>Minimum verification</w:t>
            </w:r>
          </w:p>
        </w:tc>
      </w:tr>
      <w:tr>
        <w:tc>
          <w:tcPr>
            <w:tcW w:type="dxa" w:w="2450"/>
            <w:tcMar>
              <w:top w:w="100" w:type="dxa"/>
              <w:start w:w="120" w:type="dxa"/>
              <w:bottom w:w="100" w:type="dxa"/>
              <w:end w:w="120" w:type="dxa"/>
            </w:tcMar>
            <w:vAlign w:val="center"/>
          </w:tcPr>
          <w:p>
            <w:pPr>
              <w:spacing w:after="0"/>
              <w:ind w:left="0" w:firstLine="0"/>
            </w:pPr>
            <w:r>
              <w:rPr>
                <w:rFonts w:ascii="Aptos" w:hAnsi="Aptos"/>
                <w:b w:val="0"/>
                <w:color w:val="17212B"/>
                <w:sz w:val="18"/>
              </w:rPr>
              <w:t>Document / PDF</w:t>
            </w:r>
          </w:p>
        </w:tc>
        <w:tc>
          <w:tcPr>
            <w:tcW w:type="dxa" w:w="6910"/>
            <w:tcMar>
              <w:top w:w="100" w:type="dxa"/>
              <w:start w:w="120" w:type="dxa"/>
              <w:bottom w:w="100" w:type="dxa"/>
              <w:end w:w="120" w:type="dxa"/>
            </w:tcMar>
            <w:vAlign w:val="center"/>
          </w:tcPr>
          <w:p>
            <w:pPr>
              <w:spacing w:after="0"/>
              <w:ind w:left="0" w:firstLine="0"/>
            </w:pPr>
            <w:r>
              <w:rPr>
                <w:rFonts w:ascii="Aptos" w:hAnsi="Aptos"/>
                <w:b w:val="0"/>
                <w:color w:val="17212B"/>
                <w:sz w:val="18"/>
              </w:rPr>
              <w:t>Structure and text checks; render every page; inspect layout, tables, headers, footers, pagination, and required language.</w:t>
            </w:r>
          </w:p>
        </w:tc>
      </w:tr>
      <w:tr>
        <w:tc>
          <w:tcPr>
            <w:tcW w:type="dxa" w:w="2450"/>
            <w:tcMar>
              <w:top w:w="100" w:type="dxa"/>
              <w:start w:w="120" w:type="dxa"/>
              <w:bottom w:w="100" w:type="dxa"/>
              <w:end w:w="120" w:type="dxa"/>
            </w:tcMar>
            <w:vAlign w:val="center"/>
          </w:tcPr>
          <w:p>
            <w:pPr>
              <w:spacing w:after="0"/>
              <w:ind w:left="0" w:firstLine="0"/>
            </w:pPr>
            <w:r>
              <w:rPr>
                <w:rFonts w:ascii="Aptos" w:hAnsi="Aptos"/>
                <w:b w:val="0"/>
                <w:color w:val="17212B"/>
                <w:sz w:val="18"/>
              </w:rPr>
              <w:t>Spreadsheet</w:t>
            </w:r>
          </w:p>
        </w:tc>
        <w:tc>
          <w:tcPr>
            <w:tcW w:type="dxa" w:w="6910"/>
            <w:tcMar>
              <w:top w:w="100" w:type="dxa"/>
              <w:start w:w="120" w:type="dxa"/>
              <w:bottom w:w="100" w:type="dxa"/>
              <w:end w:w="120" w:type="dxa"/>
            </w:tcMar>
            <w:vAlign w:val="center"/>
          </w:tcPr>
          <w:p>
            <w:pPr>
              <w:spacing w:after="0"/>
              <w:ind w:left="0" w:firstLine="0"/>
            </w:pPr>
            <w:r>
              <w:rPr>
                <w:rFonts w:ascii="Aptos" w:hAnsi="Aptos"/>
                <w:b w:val="0"/>
                <w:color w:val="17212B"/>
                <w:sz w:val="18"/>
              </w:rPr>
              <w:t>Formula and reference audit; recalculate; test inputs and edge cases; inspect rendered or application view.</w:t>
            </w:r>
          </w:p>
        </w:tc>
      </w:tr>
      <w:tr>
        <w:tc>
          <w:tcPr>
            <w:tcW w:type="dxa" w:w="2450"/>
            <w:tcMar>
              <w:top w:w="100" w:type="dxa"/>
              <w:start w:w="120" w:type="dxa"/>
              <w:bottom w:w="100" w:type="dxa"/>
              <w:end w:w="120" w:type="dxa"/>
            </w:tcMar>
            <w:vAlign w:val="center"/>
          </w:tcPr>
          <w:p>
            <w:pPr>
              <w:spacing w:after="0"/>
              <w:ind w:left="0" w:firstLine="0"/>
            </w:pPr>
            <w:r>
              <w:rPr>
                <w:rFonts w:ascii="Aptos" w:hAnsi="Aptos"/>
                <w:b w:val="0"/>
                <w:color w:val="17212B"/>
                <w:sz w:val="18"/>
              </w:rPr>
              <w:t>Website / application</w:t>
            </w:r>
          </w:p>
        </w:tc>
        <w:tc>
          <w:tcPr>
            <w:tcW w:type="dxa" w:w="6910"/>
            <w:tcMar>
              <w:top w:w="100" w:type="dxa"/>
              <w:start w:w="120" w:type="dxa"/>
              <w:bottom w:w="100" w:type="dxa"/>
              <w:end w:w="120" w:type="dxa"/>
            </w:tcMar>
            <w:vAlign w:val="center"/>
          </w:tcPr>
          <w:p>
            <w:pPr>
              <w:spacing w:after="0"/>
              <w:ind w:left="0" w:firstLine="0"/>
            </w:pPr>
            <w:r>
              <w:rPr>
                <w:rFonts w:ascii="Aptos" w:hAnsi="Aptos"/>
                <w:b w:val="0"/>
                <w:color w:val="17212B"/>
                <w:sz w:val="18"/>
              </w:rPr>
              <w:t>Local build/test; responsive and accessibility checks; verify forms, links, privacy behavior, and release configuration. Public status requires live readback.</w:t>
            </w:r>
          </w:p>
        </w:tc>
      </w:tr>
      <w:tr>
        <w:tc>
          <w:tcPr>
            <w:tcW w:type="dxa" w:w="2450"/>
            <w:tcMar>
              <w:top w:w="100" w:type="dxa"/>
              <w:start w:w="120" w:type="dxa"/>
              <w:bottom w:w="100" w:type="dxa"/>
              <w:end w:w="120" w:type="dxa"/>
            </w:tcMar>
            <w:vAlign w:val="center"/>
          </w:tcPr>
          <w:p>
            <w:pPr>
              <w:spacing w:after="0"/>
              <w:ind w:left="0" w:firstLine="0"/>
            </w:pPr>
            <w:r>
              <w:rPr>
                <w:rFonts w:ascii="Aptos" w:hAnsi="Aptos"/>
                <w:b w:val="0"/>
                <w:color w:val="17212B"/>
                <w:sz w:val="18"/>
              </w:rPr>
              <w:t>Email / communication</w:t>
            </w:r>
          </w:p>
        </w:tc>
        <w:tc>
          <w:tcPr>
            <w:tcW w:type="dxa" w:w="6910"/>
            <w:tcMar>
              <w:top w:w="100" w:type="dxa"/>
              <w:start w:w="120" w:type="dxa"/>
              <w:bottom w:w="100" w:type="dxa"/>
              <w:end w:w="120" w:type="dxa"/>
            </w:tcMar>
            <w:vAlign w:val="center"/>
          </w:tcPr>
          <w:p>
            <w:pPr>
              <w:spacing w:after="0"/>
              <w:ind w:left="0" w:firstLine="0"/>
            </w:pPr>
            <w:r>
              <w:rPr>
                <w:rFonts w:ascii="Aptos" w:hAnsi="Aptos"/>
                <w:b w:val="0"/>
                <w:color w:val="17212B"/>
                <w:sz w:val="18"/>
              </w:rPr>
              <w:t>Exact sender, recipients, subject, body, attachments, links, and approvals; sent-item or recipient proof after sending.</w:t>
            </w:r>
          </w:p>
        </w:tc>
      </w:tr>
      <w:tr>
        <w:tc>
          <w:tcPr>
            <w:tcW w:type="dxa" w:w="2450"/>
            <w:tcMar>
              <w:top w:w="100" w:type="dxa"/>
              <w:start w:w="120" w:type="dxa"/>
              <w:bottom w:w="100" w:type="dxa"/>
              <w:end w:w="120" w:type="dxa"/>
            </w:tcMar>
            <w:vAlign w:val="center"/>
          </w:tcPr>
          <w:p>
            <w:pPr>
              <w:spacing w:after="0"/>
              <w:ind w:left="0" w:firstLine="0"/>
            </w:pPr>
            <w:r>
              <w:rPr>
                <w:rFonts w:ascii="Aptos" w:hAnsi="Aptos"/>
                <w:b w:val="0"/>
                <w:color w:val="17212B"/>
                <w:sz w:val="18"/>
              </w:rPr>
              <w:t>Account / access / provider</w:t>
            </w:r>
          </w:p>
        </w:tc>
        <w:tc>
          <w:tcPr>
            <w:tcW w:type="dxa" w:w="6910"/>
            <w:tcMar>
              <w:top w:w="100" w:type="dxa"/>
              <w:start w:w="120" w:type="dxa"/>
              <w:bottom w:w="100" w:type="dxa"/>
              <w:end w:w="120" w:type="dxa"/>
            </w:tcMar>
            <w:vAlign w:val="center"/>
          </w:tcPr>
          <w:p>
            <w:pPr>
              <w:spacing w:after="0"/>
              <w:ind w:left="0" w:firstLine="0"/>
            </w:pPr>
            <w:r>
              <w:rPr>
                <w:rFonts w:ascii="Aptos" w:hAnsi="Aptos"/>
                <w:b w:val="0"/>
                <w:color w:val="17212B"/>
                <w:sz w:val="18"/>
              </w:rPr>
              <w:t>Provider readback of owner, role, billing, integrations, recovery, and target state.</w:t>
            </w:r>
          </w:p>
        </w:tc>
      </w:tr>
      <w:tr>
        <w:tc>
          <w:tcPr>
            <w:tcW w:type="dxa" w:w="2450"/>
            <w:tcMar>
              <w:top w:w="100" w:type="dxa"/>
              <w:start w:w="120" w:type="dxa"/>
              <w:bottom w:w="100" w:type="dxa"/>
              <w:end w:w="120" w:type="dxa"/>
            </w:tcMar>
            <w:vAlign w:val="center"/>
          </w:tcPr>
          <w:p>
            <w:pPr>
              <w:spacing w:after="0"/>
              <w:ind w:left="0" w:firstLine="0"/>
            </w:pPr>
            <w:r>
              <w:rPr>
                <w:rFonts w:ascii="Aptos" w:hAnsi="Aptos"/>
                <w:b w:val="0"/>
                <w:color w:val="17212B"/>
                <w:sz w:val="18"/>
              </w:rPr>
              <w:t>Transaction / filing / contract</w:t>
            </w:r>
          </w:p>
        </w:tc>
        <w:tc>
          <w:tcPr>
            <w:tcW w:type="dxa" w:w="6910"/>
            <w:tcMar>
              <w:top w:w="100" w:type="dxa"/>
              <w:start w:w="120" w:type="dxa"/>
              <w:bottom w:w="100" w:type="dxa"/>
              <w:end w:w="120" w:type="dxa"/>
            </w:tcMar>
            <w:vAlign w:val="center"/>
          </w:tcPr>
          <w:p>
            <w:pPr>
              <w:spacing w:after="0"/>
              <w:ind w:left="0" w:firstLine="0"/>
            </w:pPr>
            <w:r>
              <w:rPr>
                <w:rFonts w:ascii="Aptos" w:hAnsi="Aptos"/>
                <w:b w:val="0"/>
                <w:color w:val="17212B"/>
                <w:sz w:val="18"/>
              </w:rPr>
              <w:t>Official receipt, accepted status, bank or provider record, countersigned instrument, or agency readback.</w:t>
            </w:r>
          </w:p>
        </w:tc>
      </w:tr>
    </w:tbl>
    <w:p>
      <w:pPr>
        <w:spacing w:after="0" w:line="20" w:lineRule="exact"/>
      </w:pPr>
      <w:r>
        <w:rPr>
          <w:rFonts w:ascii="Aptos" w:hAnsi="Aptos"/>
          <w:color w:val="FFFFFF"/>
          <w:sz w:val="2"/>
        </w:rPr>
        <w:t xml:space="preserve"> </w:t>
      </w:r>
    </w:p>
    <w:p>
      <w:pPr>
        <w:pStyle w:val="Heading2"/>
      </w:pPr>
      <w:r>
        <w:t>14.2 Definition of done</w:t>
      </w:r>
    </w:p>
    <w:p>
      <w:pPr>
        <w:pStyle w:val="Checklist"/>
      </w:pPr>
      <w:r>
        <w:rPr>
          <w:rFonts w:ascii="Arial" w:hAnsi="Arial"/>
          <w:color w:val="2E74B5"/>
          <w:sz w:val="21"/>
        </w:rPr>
        <w:t xml:space="preserve">☐  </w:t>
      </w:r>
      <w:r>
        <w:rPr>
          <w:rFonts w:ascii="Aptos" w:hAnsi="Aptos"/>
          <w:color w:val="17212B"/>
          <w:sz w:val="20"/>
        </w:rPr>
        <w:t>The requested outcome—not merely an intermediate—is complete.</w:t>
      </w:r>
    </w:p>
    <w:p>
      <w:pPr>
        <w:pStyle w:val="Checklist"/>
      </w:pPr>
      <w:r>
        <w:rPr>
          <w:rFonts w:ascii="Arial" w:hAnsi="Arial"/>
          <w:color w:val="2E74B5"/>
          <w:sz w:val="21"/>
        </w:rPr>
        <w:t xml:space="preserve">☐  </w:t>
      </w:r>
      <w:r>
        <w:rPr>
          <w:rFonts w:ascii="Aptos" w:hAnsi="Aptos"/>
          <w:color w:val="17212B"/>
          <w:sz w:val="20"/>
        </w:rPr>
        <w:t>The correct entity, owner, source, and approval were used.</w:t>
      </w:r>
    </w:p>
    <w:p>
      <w:pPr>
        <w:pStyle w:val="Checklist"/>
      </w:pPr>
      <w:r>
        <w:rPr>
          <w:rFonts w:ascii="Arial" w:hAnsi="Arial"/>
          <w:color w:val="2E74B5"/>
          <w:sz w:val="21"/>
        </w:rPr>
        <w:t xml:space="preserve">☐  </w:t>
      </w:r>
      <w:r>
        <w:rPr>
          <w:rFonts w:ascii="Aptos" w:hAnsi="Aptos"/>
          <w:color w:val="17212B"/>
          <w:sz w:val="20"/>
        </w:rPr>
        <w:t>The result was verified in its actual-use format.</w:t>
      </w:r>
    </w:p>
    <w:p>
      <w:pPr>
        <w:pStyle w:val="Checklist"/>
      </w:pPr>
      <w:r>
        <w:rPr>
          <w:rFonts w:ascii="Arial" w:hAnsi="Arial"/>
          <w:color w:val="2E74B5"/>
          <w:sz w:val="21"/>
        </w:rPr>
        <w:t xml:space="preserve">☐  </w:t>
      </w:r>
      <w:r>
        <w:rPr>
          <w:rFonts w:ascii="Aptos" w:hAnsi="Aptos"/>
          <w:color w:val="17212B"/>
          <w:sz w:val="20"/>
        </w:rPr>
        <w:t>Material discrepancies and unavailable sources are disclosed.</w:t>
      </w:r>
    </w:p>
    <w:p>
      <w:pPr>
        <w:pStyle w:val="Checklist"/>
      </w:pPr>
      <w:r>
        <w:rPr>
          <w:rFonts w:ascii="Arial" w:hAnsi="Arial"/>
          <w:color w:val="2E74B5"/>
          <w:sz w:val="21"/>
        </w:rPr>
        <w:t xml:space="preserve">☐  </w:t>
      </w:r>
      <w:r>
        <w:rPr>
          <w:rFonts w:ascii="Aptos" w:hAnsi="Aptos"/>
          <w:color w:val="17212B"/>
          <w:sz w:val="20"/>
        </w:rPr>
        <w:t>Evidence is retained in the approved location.</w:t>
      </w:r>
    </w:p>
    <w:p>
      <w:pPr>
        <w:pStyle w:val="Checklist"/>
      </w:pPr>
      <w:r>
        <w:rPr>
          <w:rFonts w:ascii="Arial" w:hAnsi="Arial"/>
          <w:color w:val="2E74B5"/>
          <w:sz w:val="21"/>
        </w:rPr>
        <w:t xml:space="preserve">☐  </w:t>
      </w:r>
      <w:r>
        <w:rPr>
          <w:rFonts w:ascii="Aptos" w:hAnsi="Aptos"/>
          <w:color w:val="17212B"/>
          <w:sz w:val="20"/>
        </w:rPr>
        <w:t>Downstream records, status, access, or documentation are updated.</w:t>
      </w:r>
    </w:p>
    <w:p>
      <w:pPr>
        <w:pStyle w:val="Checklist"/>
      </w:pPr>
      <w:r>
        <w:rPr>
          <w:rFonts w:ascii="Arial" w:hAnsi="Arial"/>
          <w:color w:val="2E74B5"/>
          <w:sz w:val="21"/>
        </w:rPr>
        <w:t xml:space="preserve">☐  </w:t>
      </w:r>
      <w:r>
        <w:rPr>
          <w:rFonts w:ascii="Aptos" w:hAnsi="Aptos"/>
          <w:color w:val="17212B"/>
          <w:sz w:val="20"/>
        </w:rPr>
        <w:t>No unresolved decision remains that would change the claimed completion state.</w:t>
      </w:r>
    </w:p>
    <w:p>
      <w:pPr>
        <w:pStyle w:val="Heading1"/>
        <w:pageBreakBefore/>
      </w:pPr>
      <w:r>
        <w:t>15. Continuity, Change Control, and Manual Governance</w:t>
      </w:r>
    </w:p>
    <w:p>
      <w:pPr>
        <w:pStyle w:val="Heading2"/>
      </w:pPr>
      <w:r>
        <w:t>15.1 Continuity standard</w:t>
      </w:r>
    </w:p>
    <w:p>
      <w:pPr>
        <w:pStyle w:val="ListBullet"/>
      </w:pPr>
      <w:r>
        <w:rPr>
          <w:rFonts w:ascii="Aptos" w:hAnsi="Aptos"/>
          <w:color w:val="17212B"/>
          <w:sz w:val="20"/>
        </w:rPr>
        <w:t>Critical accounts, systems, vendors, records, and recurring obligations have named owners and recovery paths.</w:t>
      </w:r>
    </w:p>
    <w:p>
      <w:pPr>
        <w:pStyle w:val="ListBullet"/>
      </w:pPr>
      <w:r>
        <w:rPr>
          <w:rFonts w:ascii="Aptos" w:hAnsi="Aptos"/>
          <w:color w:val="17212B"/>
          <w:sz w:val="20"/>
        </w:rPr>
        <w:t>No critical process depends on one person’s memory, private account, or undocumented local file.</w:t>
      </w:r>
    </w:p>
    <w:p>
      <w:pPr>
        <w:pStyle w:val="ListBullet"/>
      </w:pPr>
      <w:r>
        <w:rPr>
          <w:rFonts w:ascii="Aptos" w:hAnsi="Aptos"/>
          <w:color w:val="17212B"/>
          <w:sz w:val="20"/>
        </w:rPr>
        <w:t>Handoffs include current status, source, proof, access state, next action, and decision owner.</w:t>
      </w:r>
    </w:p>
    <w:p>
      <w:pPr>
        <w:pStyle w:val="ListBullet"/>
      </w:pPr>
      <w:r>
        <w:rPr>
          <w:rFonts w:ascii="Aptos" w:hAnsi="Aptos"/>
          <w:color w:val="17212B"/>
          <w:sz w:val="20"/>
        </w:rPr>
        <w:t>Backups and exports are tested in proportion to business risk, and restoration responsibility is named.</w:t>
      </w:r>
    </w:p>
    <w:p>
      <w:pPr>
        <w:pStyle w:val="ListBullet"/>
      </w:pPr>
      <w:r>
        <w:rPr>
          <w:rFonts w:ascii="Aptos" w:hAnsi="Aptos"/>
          <w:color w:val="17212B"/>
          <w:sz w:val="20"/>
        </w:rPr>
        <w:t>Departures, extended unavailability, provider failure, device loss, and credential recovery have documented response paths.</w:t>
      </w:r>
    </w:p>
    <w:p>
      <w:pPr>
        <w:pStyle w:val="Heading2"/>
      </w:pPr>
      <w:r>
        <w:t>15.2 Change control</w:t>
      </w:r>
    </w:p>
    <w:p>
      <w:pPr>
        <w:spacing w:after="80" w:line="276" w:lineRule="auto"/>
        <w:numPr>
          <w:ilvl w:val="0"/>
          <w:numId w:val="16"/>
        </w:numPr>
      </w:pPr>
      <w:r>
        <w:rPr>
          <w:rFonts w:ascii="Aptos" w:hAnsi="Aptos"/>
          <w:color w:val="17212B"/>
          <w:sz w:val="20"/>
        </w:rPr>
        <w:t>Propose the change against the current controlling source and explain the operating problem it solves.</w:t>
      </w:r>
    </w:p>
    <w:p>
      <w:pPr>
        <w:spacing w:after="80" w:line="276" w:lineRule="auto"/>
        <w:numPr>
          <w:ilvl w:val="0"/>
          <w:numId w:val="16"/>
        </w:numPr>
      </w:pPr>
      <w:r>
        <w:rPr>
          <w:rFonts w:ascii="Aptos" w:hAnsi="Aptos"/>
          <w:color w:val="17212B"/>
          <w:sz w:val="20"/>
        </w:rPr>
        <w:t>Identify affected entities, users, documents, systems, contracts, communications, evidence, and training or professional-review needs.</w:t>
      </w:r>
    </w:p>
    <w:p>
      <w:pPr>
        <w:spacing w:after="80" w:line="276" w:lineRule="auto"/>
        <w:numPr>
          <w:ilvl w:val="0"/>
          <w:numId w:val="16"/>
        </w:numPr>
      </w:pPr>
      <w:r>
        <w:rPr>
          <w:rFonts w:ascii="Aptos" w:hAnsi="Aptos"/>
          <w:color w:val="17212B"/>
          <w:sz w:val="20"/>
        </w:rPr>
        <w:t>Create one review candidate and preserve the prior source as history.</w:t>
      </w:r>
    </w:p>
    <w:p>
      <w:pPr>
        <w:spacing w:after="80" w:line="276" w:lineRule="auto"/>
        <w:numPr>
          <w:ilvl w:val="0"/>
          <w:numId w:val="16"/>
        </w:numPr>
      </w:pPr>
      <w:r>
        <w:rPr>
          <w:rFonts w:ascii="Aptos" w:hAnsi="Aptos"/>
          <w:color w:val="17212B"/>
          <w:sz w:val="20"/>
        </w:rPr>
        <w:t>Test the change in the real-use format and record exceptions.</w:t>
      </w:r>
    </w:p>
    <w:p>
      <w:pPr>
        <w:spacing w:after="80" w:line="276" w:lineRule="auto"/>
        <w:numPr>
          <w:ilvl w:val="0"/>
          <w:numId w:val="16"/>
        </w:numPr>
      </w:pPr>
      <w:r>
        <w:rPr>
          <w:rFonts w:ascii="Aptos" w:hAnsi="Aptos"/>
          <w:color w:val="17212B"/>
          <w:sz w:val="20"/>
        </w:rPr>
        <w:t>Obtain owner approval and any required professional review before issuance or activation.</w:t>
      </w:r>
    </w:p>
    <w:p>
      <w:pPr>
        <w:spacing w:after="80" w:line="276" w:lineRule="auto"/>
        <w:numPr>
          <w:ilvl w:val="0"/>
          <w:numId w:val="16"/>
        </w:numPr>
      </w:pPr>
      <w:r>
        <w:rPr>
          <w:rFonts w:ascii="Aptos" w:hAnsi="Aptos"/>
          <w:color w:val="17212B"/>
          <w:sz w:val="20"/>
        </w:rPr>
        <w:t>Record effective date, owner, superseded source, downstream updates, and proof of release.</w:t>
      </w:r>
    </w:p>
    <w:p>
      <w:pPr>
        <w:pStyle w:val="Heading2"/>
      </w:pPr>
      <w:r>
        <w:t>15.3 Manual ownership and review</w:t>
      </w:r>
    </w:p>
    <w:p>
      <w:pPr/>
      <w:r>
        <w:rPr>
          <w:rFonts w:ascii="Aptos" w:hAnsi="Aptos"/>
          <w:color w:val="17212B"/>
          <w:sz w:val="21"/>
        </w:rPr>
        <w:t>The owner or authorized decision maker owns issuance. The operations coordinator maintains the working candidate and revision log. Workstream owners propose procedure changes when evidence shows drift, recurring exceptions, changed systems, or unclear handoffs. The current issued manual controls until a replacement is approved and released.</w:t>
      </w:r>
    </w:p>
    <w:tbl>
      <w:tblPr>
        <w:tblW w:type="dxa" w:w="9360"/>
        <w:jc w:val="left"/>
        <w:tblLayout w:type="fixed"/>
        <w:tblLook w:firstColumn="1" w:firstRow="1" w:lastColumn="0" w:lastRow="0" w:noHBand="0" w:noVBand="1" w:val="04A0"/>
        <w:tblInd w:w="120" w:type="dxa"/>
        <w:tblBorders>
          <w:top w:val="single" w:sz="8" w:space="0" w:color="8A6500"/>
          <w:left w:val="single" w:sz="8" w:space="0" w:color="8A6500"/>
          <w:bottom w:val="single" w:sz="8" w:space="0" w:color="8A6500"/>
          <w:right w:val="single" w:sz="8" w:space="0" w:color="8A6500"/>
          <w:insideH w:val="single" w:sz="8" w:space="0" w:color="8A6500"/>
          <w:insideV w:val="single" w:sz="8" w:space="0" w:color="8A6500"/>
        </w:tblBorders>
      </w:tblPr>
      <w:tblGrid>
        <w:gridCol w:w="9360"/>
      </w:tblGrid>
      <w:tr>
        <w:trPr>
          <w:tblHeader w:val="true"/>
        </w:trPr>
        <w:tc>
          <w:tcPr>
            <w:tcW w:type="dxa" w:w="9360"/>
            <w:tcMar>
              <w:top w:w="130" w:type="dxa"/>
              <w:start w:w="180" w:type="dxa"/>
              <w:bottom w:w="130" w:type="dxa"/>
              <w:end w:w="180" w:type="dxa"/>
            </w:tcMar>
            <w:vAlign w:val="center"/>
            <w:shd w:fill="FFF6D8"/>
          </w:tcPr>
          <w:p>
            <w:pPr>
              <w:spacing w:after="0"/>
            </w:pPr>
            <w:r>
              <w:rPr>
                <w:rFonts w:ascii="Aptos" w:hAnsi="Aptos"/>
                <w:b/>
                <w:color w:val="8A6500"/>
                <w:sz w:val="19"/>
              </w:rPr>
              <w:t xml:space="preserve">PROFESSIONAL REVIEW POINT  </w:t>
            </w:r>
            <w:r>
              <w:rPr>
                <w:rFonts w:ascii="Aptos" w:hAnsi="Aptos"/>
                <w:color w:val="17212B"/>
                <w:sz w:val="19"/>
              </w:rPr>
              <w:t>Before initial issuance—and after a material change affecting employment, privacy/monitoring, contracts, finance/tax, licensing, insurance, safety, record retention, or regulated services—route the affected provisions to the appropriate qualified professional. Record the reviewed scope and owner decision.</w:t>
            </w:r>
          </w:p>
        </w:tc>
      </w:tr>
    </w:tbl>
    <w:p>
      <w:pPr>
        <w:spacing w:after="20"/>
      </w:pPr>
    </w:p>
    <w:p>
      <w:pPr>
        <w:pStyle w:val="Heading1"/>
        <w:pageBreakBefore/>
      </w:pPr>
      <w:r>
        <w:t>Appendix A. Reusable Operating Templates</w:t>
      </w:r>
    </w:p>
    <w:p>
      <w:pPr>
        <w:pStyle w:val="Heading2"/>
      </w:pPr>
      <w:r>
        <w:t>A1. Operations control board</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1760"/>
        <w:gridCol w:w="1500"/>
        <w:gridCol w:w="1580"/>
        <w:gridCol w:w="1320"/>
        <w:gridCol w:w="2000"/>
        <w:gridCol w:w="1200"/>
      </w:tblGrid>
      <w:tr>
        <w:trPr>
          <w:tblHeader w:val="true"/>
        </w:trPr>
        <w:tc>
          <w:tcPr>
            <w:tcW w:type="dxa" w:w="1760"/>
            <w:tcMar>
              <w:top w:w="100" w:type="dxa"/>
              <w:start w:w="120" w:type="dxa"/>
              <w:bottom w:w="100" w:type="dxa"/>
              <w:end w:w="120" w:type="dxa"/>
            </w:tcMar>
            <w:vAlign w:val="center"/>
            <w:shd w:fill="17365D"/>
          </w:tcPr>
          <w:p>
            <w:pPr>
              <w:spacing w:after="0"/>
              <w:ind w:left="0" w:firstLine="0"/>
            </w:pPr>
            <w:r>
              <w:rPr>
                <w:rFonts w:ascii="Aptos" w:hAnsi="Aptos"/>
                <w:b/>
                <w:color w:val="FFFFFF"/>
                <w:sz w:val="15"/>
              </w:rPr>
              <w:t>Outcome / lane</w:t>
            </w:r>
          </w:p>
        </w:tc>
        <w:tc>
          <w:tcPr>
            <w:tcW w:type="dxa" w:w="1500"/>
            <w:tcMar>
              <w:top w:w="100" w:type="dxa"/>
              <w:start w:w="120" w:type="dxa"/>
              <w:bottom w:w="100" w:type="dxa"/>
              <w:end w:w="120" w:type="dxa"/>
            </w:tcMar>
            <w:vAlign w:val="center"/>
            <w:shd w:fill="17365D"/>
          </w:tcPr>
          <w:p>
            <w:pPr>
              <w:spacing w:after="0"/>
              <w:ind w:left="0" w:firstLine="0"/>
            </w:pPr>
            <w:r>
              <w:rPr>
                <w:rFonts w:ascii="Aptos" w:hAnsi="Aptos"/>
                <w:b/>
                <w:color w:val="FFFFFF"/>
                <w:sz w:val="15"/>
              </w:rPr>
              <w:t>Entity / owner</w:t>
            </w:r>
          </w:p>
        </w:tc>
        <w:tc>
          <w:tcPr>
            <w:tcW w:type="dxa" w:w="1580"/>
            <w:tcMar>
              <w:top w:w="100" w:type="dxa"/>
              <w:start w:w="120" w:type="dxa"/>
              <w:bottom w:w="100" w:type="dxa"/>
              <w:end w:w="120" w:type="dxa"/>
            </w:tcMar>
            <w:vAlign w:val="center"/>
            <w:shd w:fill="17365D"/>
          </w:tcPr>
          <w:p>
            <w:pPr>
              <w:spacing w:after="0"/>
              <w:ind w:left="0" w:firstLine="0"/>
            </w:pPr>
            <w:r>
              <w:rPr>
                <w:rFonts w:ascii="Aptos" w:hAnsi="Aptos"/>
                <w:b/>
                <w:color w:val="FFFFFF"/>
                <w:sz w:val="15"/>
              </w:rPr>
              <w:t>Source / state</w:t>
            </w:r>
          </w:p>
        </w:tc>
        <w:tc>
          <w:tcPr>
            <w:tcW w:type="dxa" w:w="1320"/>
            <w:tcMar>
              <w:top w:w="100" w:type="dxa"/>
              <w:start w:w="120" w:type="dxa"/>
              <w:bottom w:w="100" w:type="dxa"/>
              <w:end w:w="120" w:type="dxa"/>
            </w:tcMar>
            <w:vAlign w:val="center"/>
            <w:shd w:fill="17365D"/>
          </w:tcPr>
          <w:p>
            <w:pPr>
              <w:spacing w:after="0"/>
              <w:ind w:left="0" w:firstLine="0"/>
            </w:pPr>
            <w:r>
              <w:rPr>
                <w:rFonts w:ascii="Aptos" w:hAnsi="Aptos"/>
                <w:b/>
                <w:color w:val="FFFFFF"/>
                <w:sz w:val="15"/>
              </w:rPr>
              <w:t>Decision window</w:t>
            </w:r>
          </w:p>
        </w:tc>
        <w:tc>
          <w:tcPr>
            <w:tcW w:type="dxa" w:w="2000"/>
            <w:tcMar>
              <w:top w:w="100" w:type="dxa"/>
              <w:start w:w="120" w:type="dxa"/>
              <w:bottom w:w="100" w:type="dxa"/>
              <w:end w:w="120" w:type="dxa"/>
            </w:tcMar>
            <w:vAlign w:val="center"/>
            <w:shd w:fill="17365D"/>
          </w:tcPr>
          <w:p>
            <w:pPr>
              <w:spacing w:after="0"/>
              <w:ind w:left="0" w:firstLine="0"/>
            </w:pPr>
            <w:r>
              <w:rPr>
                <w:rFonts w:ascii="Aptos" w:hAnsi="Aptos"/>
                <w:b/>
                <w:color w:val="FFFFFF"/>
                <w:sz w:val="15"/>
              </w:rPr>
              <w:t>Next action / gate</w:t>
            </w:r>
          </w:p>
        </w:tc>
        <w:tc>
          <w:tcPr>
            <w:tcW w:type="dxa" w:w="1200"/>
            <w:tcMar>
              <w:top w:w="100" w:type="dxa"/>
              <w:start w:w="120" w:type="dxa"/>
              <w:bottom w:w="100" w:type="dxa"/>
              <w:end w:w="120" w:type="dxa"/>
            </w:tcMar>
            <w:vAlign w:val="center"/>
            <w:shd w:fill="17365D"/>
          </w:tcPr>
          <w:p>
            <w:pPr>
              <w:spacing w:after="0"/>
              <w:ind w:left="0" w:firstLine="0"/>
            </w:pPr>
            <w:r>
              <w:rPr>
                <w:rFonts w:ascii="Aptos" w:hAnsi="Aptos"/>
                <w:b/>
                <w:color w:val="FFFFFF"/>
                <w:sz w:val="15"/>
              </w:rPr>
              <w:t>Proof</w:t>
            </w:r>
          </w:p>
        </w:tc>
      </w:tr>
      <w:tr>
        <w:tc>
          <w:tcPr>
            <w:tcW w:type="dxa" w:w="1760"/>
            <w:tcMar>
              <w:top w:w="100" w:type="dxa"/>
              <w:start w:w="120" w:type="dxa"/>
              <w:bottom w:w="100" w:type="dxa"/>
              <w:end w:w="120" w:type="dxa"/>
            </w:tcMar>
            <w:vAlign w:val="center"/>
          </w:tcPr>
          <w:p>
            <w:pPr>
              <w:spacing w:after="0"/>
              <w:ind w:left="0" w:firstLine="0"/>
            </w:pPr>
          </w:p>
        </w:tc>
        <w:tc>
          <w:tcPr>
            <w:tcW w:type="dxa" w:w="1500"/>
            <w:tcMar>
              <w:top w:w="100" w:type="dxa"/>
              <w:start w:w="120" w:type="dxa"/>
              <w:bottom w:w="100" w:type="dxa"/>
              <w:end w:w="120" w:type="dxa"/>
            </w:tcMar>
            <w:vAlign w:val="center"/>
          </w:tcPr>
          <w:p>
            <w:pPr>
              <w:spacing w:after="0"/>
              <w:ind w:left="0" w:firstLine="0"/>
            </w:pPr>
          </w:p>
        </w:tc>
        <w:tc>
          <w:tcPr>
            <w:tcW w:type="dxa" w:w="1580"/>
            <w:tcMar>
              <w:top w:w="100" w:type="dxa"/>
              <w:start w:w="120" w:type="dxa"/>
              <w:bottom w:w="100" w:type="dxa"/>
              <w:end w:w="120" w:type="dxa"/>
            </w:tcMar>
            <w:vAlign w:val="center"/>
          </w:tcPr>
          <w:p>
            <w:pPr>
              <w:spacing w:after="0"/>
              <w:ind w:left="0" w:firstLine="0"/>
            </w:pPr>
          </w:p>
        </w:tc>
        <w:tc>
          <w:tcPr>
            <w:tcW w:type="dxa" w:w="1320"/>
            <w:tcMar>
              <w:top w:w="100" w:type="dxa"/>
              <w:start w:w="120" w:type="dxa"/>
              <w:bottom w:w="100" w:type="dxa"/>
              <w:end w:w="120" w:type="dxa"/>
            </w:tcMar>
            <w:vAlign w:val="center"/>
          </w:tcPr>
          <w:p>
            <w:pPr>
              <w:spacing w:after="0"/>
              <w:ind w:left="0" w:firstLine="0"/>
            </w:pPr>
          </w:p>
        </w:tc>
        <w:tc>
          <w:tcPr>
            <w:tcW w:type="dxa" w:w="2000"/>
            <w:tcMar>
              <w:top w:w="100" w:type="dxa"/>
              <w:start w:w="120" w:type="dxa"/>
              <w:bottom w:w="100" w:type="dxa"/>
              <w:end w:w="120" w:type="dxa"/>
            </w:tcMar>
            <w:vAlign w:val="center"/>
          </w:tcPr>
          <w:p>
            <w:pPr>
              <w:spacing w:after="0"/>
              <w:ind w:left="0" w:firstLine="0"/>
            </w:pPr>
          </w:p>
        </w:tc>
        <w:tc>
          <w:tcPr>
            <w:tcW w:type="dxa" w:w="1200"/>
            <w:tcMar>
              <w:top w:w="100" w:type="dxa"/>
              <w:start w:w="120" w:type="dxa"/>
              <w:bottom w:w="100" w:type="dxa"/>
              <w:end w:w="120" w:type="dxa"/>
            </w:tcMar>
            <w:vAlign w:val="center"/>
          </w:tcPr>
          <w:p>
            <w:pPr>
              <w:spacing w:after="0"/>
              <w:ind w:left="0" w:firstLine="0"/>
            </w:pPr>
          </w:p>
        </w:tc>
      </w:tr>
      <w:tr>
        <w:tc>
          <w:tcPr>
            <w:tcW w:type="dxa" w:w="1760"/>
            <w:tcMar>
              <w:top w:w="100" w:type="dxa"/>
              <w:start w:w="120" w:type="dxa"/>
              <w:bottom w:w="100" w:type="dxa"/>
              <w:end w:w="120" w:type="dxa"/>
            </w:tcMar>
            <w:vAlign w:val="center"/>
          </w:tcPr>
          <w:p>
            <w:pPr>
              <w:spacing w:after="0"/>
              <w:ind w:left="0" w:firstLine="0"/>
            </w:pPr>
          </w:p>
        </w:tc>
        <w:tc>
          <w:tcPr>
            <w:tcW w:type="dxa" w:w="1500"/>
            <w:tcMar>
              <w:top w:w="100" w:type="dxa"/>
              <w:start w:w="120" w:type="dxa"/>
              <w:bottom w:w="100" w:type="dxa"/>
              <w:end w:w="120" w:type="dxa"/>
            </w:tcMar>
            <w:vAlign w:val="center"/>
          </w:tcPr>
          <w:p>
            <w:pPr>
              <w:spacing w:after="0"/>
              <w:ind w:left="0" w:firstLine="0"/>
            </w:pPr>
          </w:p>
        </w:tc>
        <w:tc>
          <w:tcPr>
            <w:tcW w:type="dxa" w:w="1580"/>
            <w:tcMar>
              <w:top w:w="100" w:type="dxa"/>
              <w:start w:w="120" w:type="dxa"/>
              <w:bottom w:w="100" w:type="dxa"/>
              <w:end w:w="120" w:type="dxa"/>
            </w:tcMar>
            <w:vAlign w:val="center"/>
          </w:tcPr>
          <w:p>
            <w:pPr>
              <w:spacing w:after="0"/>
              <w:ind w:left="0" w:firstLine="0"/>
            </w:pPr>
          </w:p>
        </w:tc>
        <w:tc>
          <w:tcPr>
            <w:tcW w:type="dxa" w:w="1320"/>
            <w:tcMar>
              <w:top w:w="100" w:type="dxa"/>
              <w:start w:w="120" w:type="dxa"/>
              <w:bottom w:w="100" w:type="dxa"/>
              <w:end w:w="120" w:type="dxa"/>
            </w:tcMar>
            <w:vAlign w:val="center"/>
          </w:tcPr>
          <w:p>
            <w:pPr>
              <w:spacing w:after="0"/>
              <w:ind w:left="0" w:firstLine="0"/>
            </w:pPr>
          </w:p>
        </w:tc>
        <w:tc>
          <w:tcPr>
            <w:tcW w:type="dxa" w:w="2000"/>
            <w:tcMar>
              <w:top w:w="100" w:type="dxa"/>
              <w:start w:w="120" w:type="dxa"/>
              <w:bottom w:w="100" w:type="dxa"/>
              <w:end w:w="120" w:type="dxa"/>
            </w:tcMar>
            <w:vAlign w:val="center"/>
          </w:tcPr>
          <w:p>
            <w:pPr>
              <w:spacing w:after="0"/>
              <w:ind w:left="0" w:firstLine="0"/>
            </w:pPr>
          </w:p>
        </w:tc>
        <w:tc>
          <w:tcPr>
            <w:tcW w:type="dxa" w:w="1200"/>
            <w:tcMar>
              <w:top w:w="100" w:type="dxa"/>
              <w:start w:w="120" w:type="dxa"/>
              <w:bottom w:w="100" w:type="dxa"/>
              <w:end w:w="120" w:type="dxa"/>
            </w:tcMar>
            <w:vAlign w:val="center"/>
          </w:tcPr>
          <w:p>
            <w:pPr>
              <w:spacing w:after="0"/>
              <w:ind w:left="0" w:firstLine="0"/>
            </w:pPr>
          </w:p>
        </w:tc>
      </w:tr>
      <w:tr>
        <w:tc>
          <w:tcPr>
            <w:tcW w:type="dxa" w:w="1760"/>
            <w:tcMar>
              <w:top w:w="100" w:type="dxa"/>
              <w:start w:w="120" w:type="dxa"/>
              <w:bottom w:w="100" w:type="dxa"/>
              <w:end w:w="120" w:type="dxa"/>
            </w:tcMar>
            <w:vAlign w:val="center"/>
          </w:tcPr>
          <w:p>
            <w:pPr>
              <w:spacing w:after="0"/>
              <w:ind w:left="0" w:firstLine="0"/>
            </w:pPr>
          </w:p>
        </w:tc>
        <w:tc>
          <w:tcPr>
            <w:tcW w:type="dxa" w:w="1500"/>
            <w:tcMar>
              <w:top w:w="100" w:type="dxa"/>
              <w:start w:w="120" w:type="dxa"/>
              <w:bottom w:w="100" w:type="dxa"/>
              <w:end w:w="120" w:type="dxa"/>
            </w:tcMar>
            <w:vAlign w:val="center"/>
          </w:tcPr>
          <w:p>
            <w:pPr>
              <w:spacing w:after="0"/>
              <w:ind w:left="0" w:firstLine="0"/>
            </w:pPr>
          </w:p>
        </w:tc>
        <w:tc>
          <w:tcPr>
            <w:tcW w:type="dxa" w:w="1580"/>
            <w:tcMar>
              <w:top w:w="100" w:type="dxa"/>
              <w:start w:w="120" w:type="dxa"/>
              <w:bottom w:w="100" w:type="dxa"/>
              <w:end w:w="120" w:type="dxa"/>
            </w:tcMar>
            <w:vAlign w:val="center"/>
          </w:tcPr>
          <w:p>
            <w:pPr>
              <w:spacing w:after="0"/>
              <w:ind w:left="0" w:firstLine="0"/>
            </w:pPr>
          </w:p>
        </w:tc>
        <w:tc>
          <w:tcPr>
            <w:tcW w:type="dxa" w:w="1320"/>
            <w:tcMar>
              <w:top w:w="100" w:type="dxa"/>
              <w:start w:w="120" w:type="dxa"/>
              <w:bottom w:w="100" w:type="dxa"/>
              <w:end w:w="120" w:type="dxa"/>
            </w:tcMar>
            <w:vAlign w:val="center"/>
          </w:tcPr>
          <w:p>
            <w:pPr>
              <w:spacing w:after="0"/>
              <w:ind w:left="0" w:firstLine="0"/>
            </w:pPr>
          </w:p>
        </w:tc>
        <w:tc>
          <w:tcPr>
            <w:tcW w:type="dxa" w:w="2000"/>
            <w:tcMar>
              <w:top w:w="100" w:type="dxa"/>
              <w:start w:w="120" w:type="dxa"/>
              <w:bottom w:w="100" w:type="dxa"/>
              <w:end w:w="120" w:type="dxa"/>
            </w:tcMar>
            <w:vAlign w:val="center"/>
          </w:tcPr>
          <w:p>
            <w:pPr>
              <w:spacing w:after="0"/>
              <w:ind w:left="0" w:firstLine="0"/>
            </w:pPr>
          </w:p>
        </w:tc>
        <w:tc>
          <w:tcPr>
            <w:tcW w:type="dxa" w:w="1200"/>
            <w:tcMar>
              <w:top w:w="100" w:type="dxa"/>
              <w:start w:w="120" w:type="dxa"/>
              <w:bottom w:w="100" w:type="dxa"/>
              <w:end w:w="120" w:type="dxa"/>
            </w:tcMar>
            <w:vAlign w:val="center"/>
          </w:tcPr>
          <w:p>
            <w:pPr>
              <w:spacing w:after="0"/>
              <w:ind w:left="0" w:firstLine="0"/>
            </w:pPr>
          </w:p>
        </w:tc>
      </w:tr>
      <w:tr>
        <w:tc>
          <w:tcPr>
            <w:tcW w:type="dxa" w:w="1760"/>
            <w:tcMar>
              <w:top w:w="100" w:type="dxa"/>
              <w:start w:w="120" w:type="dxa"/>
              <w:bottom w:w="100" w:type="dxa"/>
              <w:end w:w="120" w:type="dxa"/>
            </w:tcMar>
            <w:vAlign w:val="center"/>
          </w:tcPr>
          <w:p>
            <w:pPr>
              <w:spacing w:after="0"/>
              <w:ind w:left="0" w:firstLine="0"/>
            </w:pPr>
          </w:p>
        </w:tc>
        <w:tc>
          <w:tcPr>
            <w:tcW w:type="dxa" w:w="1500"/>
            <w:tcMar>
              <w:top w:w="100" w:type="dxa"/>
              <w:start w:w="120" w:type="dxa"/>
              <w:bottom w:w="100" w:type="dxa"/>
              <w:end w:w="120" w:type="dxa"/>
            </w:tcMar>
            <w:vAlign w:val="center"/>
          </w:tcPr>
          <w:p>
            <w:pPr>
              <w:spacing w:after="0"/>
              <w:ind w:left="0" w:firstLine="0"/>
            </w:pPr>
          </w:p>
        </w:tc>
        <w:tc>
          <w:tcPr>
            <w:tcW w:type="dxa" w:w="1580"/>
            <w:tcMar>
              <w:top w:w="100" w:type="dxa"/>
              <w:start w:w="120" w:type="dxa"/>
              <w:bottom w:w="100" w:type="dxa"/>
              <w:end w:w="120" w:type="dxa"/>
            </w:tcMar>
            <w:vAlign w:val="center"/>
          </w:tcPr>
          <w:p>
            <w:pPr>
              <w:spacing w:after="0"/>
              <w:ind w:left="0" w:firstLine="0"/>
            </w:pPr>
          </w:p>
        </w:tc>
        <w:tc>
          <w:tcPr>
            <w:tcW w:type="dxa" w:w="1320"/>
            <w:tcMar>
              <w:top w:w="100" w:type="dxa"/>
              <w:start w:w="120" w:type="dxa"/>
              <w:bottom w:w="100" w:type="dxa"/>
              <w:end w:w="120" w:type="dxa"/>
            </w:tcMar>
            <w:vAlign w:val="center"/>
          </w:tcPr>
          <w:p>
            <w:pPr>
              <w:spacing w:after="0"/>
              <w:ind w:left="0" w:firstLine="0"/>
            </w:pPr>
          </w:p>
        </w:tc>
        <w:tc>
          <w:tcPr>
            <w:tcW w:type="dxa" w:w="2000"/>
            <w:tcMar>
              <w:top w:w="100" w:type="dxa"/>
              <w:start w:w="120" w:type="dxa"/>
              <w:bottom w:w="100" w:type="dxa"/>
              <w:end w:w="120" w:type="dxa"/>
            </w:tcMar>
            <w:vAlign w:val="center"/>
          </w:tcPr>
          <w:p>
            <w:pPr>
              <w:spacing w:after="0"/>
              <w:ind w:left="0" w:firstLine="0"/>
            </w:pPr>
          </w:p>
        </w:tc>
        <w:tc>
          <w:tcPr>
            <w:tcW w:type="dxa" w:w="1200"/>
            <w:tcMar>
              <w:top w:w="100" w:type="dxa"/>
              <w:start w:w="120" w:type="dxa"/>
              <w:bottom w:w="100" w:type="dxa"/>
              <w:end w:w="120" w:type="dxa"/>
            </w:tcMar>
            <w:vAlign w:val="center"/>
          </w:tcPr>
          <w:p>
            <w:pPr>
              <w:spacing w:after="0"/>
              <w:ind w:left="0" w:firstLine="0"/>
            </w:pPr>
          </w:p>
        </w:tc>
      </w:tr>
      <w:tr>
        <w:tc>
          <w:tcPr>
            <w:tcW w:type="dxa" w:w="1760"/>
            <w:tcMar>
              <w:top w:w="100" w:type="dxa"/>
              <w:start w:w="120" w:type="dxa"/>
              <w:bottom w:w="100" w:type="dxa"/>
              <w:end w:w="120" w:type="dxa"/>
            </w:tcMar>
            <w:vAlign w:val="center"/>
          </w:tcPr>
          <w:p>
            <w:pPr>
              <w:spacing w:after="0"/>
              <w:ind w:left="0" w:firstLine="0"/>
            </w:pPr>
          </w:p>
        </w:tc>
        <w:tc>
          <w:tcPr>
            <w:tcW w:type="dxa" w:w="1500"/>
            <w:tcMar>
              <w:top w:w="100" w:type="dxa"/>
              <w:start w:w="120" w:type="dxa"/>
              <w:bottom w:w="100" w:type="dxa"/>
              <w:end w:w="120" w:type="dxa"/>
            </w:tcMar>
            <w:vAlign w:val="center"/>
          </w:tcPr>
          <w:p>
            <w:pPr>
              <w:spacing w:after="0"/>
              <w:ind w:left="0" w:firstLine="0"/>
            </w:pPr>
          </w:p>
        </w:tc>
        <w:tc>
          <w:tcPr>
            <w:tcW w:type="dxa" w:w="1580"/>
            <w:tcMar>
              <w:top w:w="100" w:type="dxa"/>
              <w:start w:w="120" w:type="dxa"/>
              <w:bottom w:w="100" w:type="dxa"/>
              <w:end w:w="120" w:type="dxa"/>
            </w:tcMar>
            <w:vAlign w:val="center"/>
          </w:tcPr>
          <w:p>
            <w:pPr>
              <w:spacing w:after="0"/>
              <w:ind w:left="0" w:firstLine="0"/>
            </w:pPr>
          </w:p>
        </w:tc>
        <w:tc>
          <w:tcPr>
            <w:tcW w:type="dxa" w:w="1320"/>
            <w:tcMar>
              <w:top w:w="100" w:type="dxa"/>
              <w:start w:w="120" w:type="dxa"/>
              <w:bottom w:w="100" w:type="dxa"/>
              <w:end w:w="120" w:type="dxa"/>
            </w:tcMar>
            <w:vAlign w:val="center"/>
          </w:tcPr>
          <w:p>
            <w:pPr>
              <w:spacing w:after="0"/>
              <w:ind w:left="0" w:firstLine="0"/>
            </w:pPr>
          </w:p>
        </w:tc>
        <w:tc>
          <w:tcPr>
            <w:tcW w:type="dxa" w:w="2000"/>
            <w:tcMar>
              <w:top w:w="100" w:type="dxa"/>
              <w:start w:w="120" w:type="dxa"/>
              <w:bottom w:w="100" w:type="dxa"/>
              <w:end w:w="120" w:type="dxa"/>
            </w:tcMar>
            <w:vAlign w:val="center"/>
          </w:tcPr>
          <w:p>
            <w:pPr>
              <w:spacing w:after="0"/>
              <w:ind w:left="0" w:firstLine="0"/>
            </w:pPr>
          </w:p>
        </w:tc>
        <w:tc>
          <w:tcPr>
            <w:tcW w:type="dxa" w:w="1200"/>
            <w:tcMar>
              <w:top w:w="100" w:type="dxa"/>
              <w:start w:w="120" w:type="dxa"/>
              <w:bottom w:w="100" w:type="dxa"/>
              <w:end w:w="120" w:type="dxa"/>
            </w:tcMar>
            <w:vAlign w:val="center"/>
          </w:tcPr>
          <w:p>
            <w:pPr>
              <w:spacing w:after="0"/>
              <w:ind w:left="0" w:firstLine="0"/>
            </w:pPr>
          </w:p>
        </w:tc>
      </w:tr>
    </w:tbl>
    <w:p>
      <w:pPr>
        <w:spacing w:after="0" w:line="20" w:lineRule="exact"/>
      </w:pPr>
      <w:r>
        <w:rPr>
          <w:rFonts w:ascii="Aptos" w:hAnsi="Aptos"/>
          <w:color w:val="FFFFFF"/>
          <w:sz w:val="2"/>
        </w:rPr>
        <w:t xml:space="preserve"> </w:t>
      </w:r>
    </w:p>
    <w:p>
      <w:pPr/>
      <w:r>
        <w:rPr>
          <w:rFonts w:ascii="Aptos" w:hAnsi="Aptos"/>
          <w:color w:val="17212B"/>
          <w:sz w:val="21"/>
        </w:rPr>
        <w:t>Board rule: one row per outcome. Use READY, IN PROGRESS, REVIEW, APPROVAL, WAITING, BLOCKED, DONE, or PARKED only as defined in §4.4.</w:t>
      </w:r>
    </w:p>
    <w:p>
      <w:pPr>
        <w:pStyle w:val="Heading2"/>
      </w:pPr>
      <w:r>
        <w:t>A2. Work brief</w:t>
      </w:r>
    </w:p>
    <w:p>
      <w:pPr>
        <w:spacing w:after="100"/>
      </w:pPr>
      <w:r>
        <w:rPr>
          <w:rFonts w:ascii="Aptos" w:hAnsi="Aptos"/>
          <w:b/>
          <w:color w:val="17365D"/>
          <w:sz w:val="19"/>
        </w:rPr>
        <w:t xml:space="preserve">Outcome: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Entity / accountable owner: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Requester / decision owner: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Controlling source: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Current verified status: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Completion test: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Decision window: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Dependencies / constraints: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Professional-review need: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Next action: </w:t>
      </w:r>
      <w:r>
        <w:rPr>
          <w:rFonts w:ascii="Aptos" w:hAnsi="Aptos"/>
          <w:color w:val="5B6773"/>
          <w:sz w:val="19"/>
        </w:rPr>
        <w:t>__________________________________________________________________</w:t>
      </w:r>
    </w:p>
    <w:p>
      <w:pPr>
        <w:spacing w:after="100"/>
      </w:pPr>
      <w:r>
        <w:rPr>
          <w:rFonts w:ascii="Aptos" w:hAnsi="Aptos"/>
          <w:b/>
          <w:color w:val="17365D"/>
          <w:sz w:val="19"/>
        </w:rPr>
        <w:t xml:space="preserve">Proof location: </w:t>
      </w:r>
      <w:r>
        <w:rPr>
          <w:rFonts w:ascii="Aptos" w:hAnsi="Aptos"/>
          <w:color w:val="5B6773"/>
          <w:sz w:val="19"/>
        </w:rPr>
        <w:t>__________________________________________________________________</w:t>
      </w:r>
    </w:p>
    <w:p>
      <w:pPr>
        <w:pStyle w:val="Heading2"/>
        <w:pageBreakBefore/>
      </w:pPr>
      <w:r>
        <w:t>A3. Decision / approval request</w:t>
      </w:r>
    </w:p>
    <w:p>
      <w:pPr>
        <w:pStyle w:val="Checklist"/>
      </w:pPr>
      <w:r>
        <w:rPr>
          <w:rFonts w:ascii="Arial" w:hAnsi="Arial"/>
          <w:color w:val="2E74B5"/>
          <w:sz w:val="21"/>
        </w:rPr>
        <w:t xml:space="preserve">☐  </w:t>
      </w:r>
      <w:r>
        <w:rPr>
          <w:rFonts w:ascii="Aptos" w:hAnsi="Aptos"/>
          <w:color w:val="17212B"/>
          <w:sz w:val="20"/>
        </w:rPr>
        <w:t>Action and entity:</w:t>
      </w:r>
    </w:p>
    <w:p>
      <w:pPr>
        <w:pStyle w:val="Checklist"/>
      </w:pPr>
      <w:r>
        <w:rPr>
          <w:rFonts w:ascii="Arial" w:hAnsi="Arial"/>
          <w:color w:val="2E74B5"/>
          <w:sz w:val="21"/>
        </w:rPr>
        <w:t xml:space="preserve">☐  </w:t>
      </w:r>
      <w:r>
        <w:rPr>
          <w:rFonts w:ascii="Aptos" w:hAnsi="Aptos"/>
          <w:color w:val="17212B"/>
          <w:sz w:val="20"/>
        </w:rPr>
        <w:t>Exact final content / amount / terms / target:</w:t>
      </w:r>
    </w:p>
    <w:p>
      <w:pPr>
        <w:pStyle w:val="Checklist"/>
      </w:pPr>
      <w:r>
        <w:rPr>
          <w:rFonts w:ascii="Arial" w:hAnsi="Arial"/>
          <w:color w:val="2E74B5"/>
          <w:sz w:val="21"/>
        </w:rPr>
        <w:t xml:space="preserve">☐  </w:t>
      </w:r>
      <w:r>
        <w:rPr>
          <w:rFonts w:ascii="Aptos" w:hAnsi="Aptos"/>
          <w:color w:val="17212B"/>
          <w:sz w:val="20"/>
        </w:rPr>
        <w:t>Sender, recipients, destination, account, or provider:</w:t>
      </w:r>
    </w:p>
    <w:p>
      <w:pPr>
        <w:pStyle w:val="Checklist"/>
      </w:pPr>
      <w:r>
        <w:rPr>
          <w:rFonts w:ascii="Arial" w:hAnsi="Arial"/>
          <w:color w:val="2E74B5"/>
          <w:sz w:val="21"/>
        </w:rPr>
        <w:t xml:space="preserve">☐  </w:t>
      </w:r>
      <w:r>
        <w:rPr>
          <w:rFonts w:ascii="Aptos" w:hAnsi="Aptos"/>
          <w:color w:val="17212B"/>
          <w:sz w:val="20"/>
        </w:rPr>
        <w:t>Source and verification completed:</w:t>
      </w:r>
    </w:p>
    <w:p>
      <w:pPr>
        <w:pStyle w:val="Checklist"/>
      </w:pPr>
      <w:r>
        <w:rPr>
          <w:rFonts w:ascii="Arial" w:hAnsi="Arial"/>
          <w:color w:val="2E74B5"/>
          <w:sz w:val="21"/>
        </w:rPr>
        <w:t xml:space="preserve">☐  </w:t>
      </w:r>
      <w:r>
        <w:rPr>
          <w:rFonts w:ascii="Aptos" w:hAnsi="Aptos"/>
          <w:color w:val="17212B"/>
          <w:sz w:val="20"/>
        </w:rPr>
        <w:t>Material risks, conflicts, unavailable sources, or professional-review notes:</w:t>
      </w:r>
    </w:p>
    <w:p>
      <w:pPr>
        <w:pStyle w:val="Checklist"/>
      </w:pPr>
      <w:r>
        <w:rPr>
          <w:rFonts w:ascii="Arial" w:hAnsi="Arial"/>
          <w:color w:val="2E74B5"/>
          <w:sz w:val="21"/>
        </w:rPr>
        <w:t xml:space="preserve">☐  </w:t>
      </w:r>
      <w:r>
        <w:rPr>
          <w:rFonts w:ascii="Aptos" w:hAnsi="Aptos"/>
          <w:color w:val="17212B"/>
          <w:sz w:val="20"/>
        </w:rPr>
        <w:t>Execution owner and verification method:</w:t>
      </w:r>
    </w:p>
    <w:p>
      <w:pPr>
        <w:pStyle w:val="Checklist"/>
      </w:pPr>
      <w:r>
        <w:rPr>
          <w:rFonts w:ascii="Arial" w:hAnsi="Arial"/>
          <w:color w:val="2E74B5"/>
          <w:sz w:val="21"/>
        </w:rPr>
        <w:t xml:space="preserve">☐  </w:t>
      </w:r>
      <w:r>
        <w:rPr>
          <w:rFonts w:ascii="Aptos" w:hAnsi="Aptos"/>
          <w:color w:val="17212B"/>
          <w:sz w:val="20"/>
        </w:rPr>
        <w:t>Decision requested: approve / revise / decline:</w:t>
      </w:r>
    </w:p>
    <w:p>
      <w:pPr>
        <w:spacing w:after="80"/>
      </w:pPr>
      <w:r>
        <w:rPr>
          <w:rFonts w:ascii="Aptos" w:hAnsi="Aptos"/>
          <w:b/>
          <w:color w:val="17365D"/>
          <w:sz w:val="19"/>
        </w:rPr>
        <w:t xml:space="preserve">Recommendation: </w:t>
      </w:r>
      <w:r>
        <w:rPr>
          <w:rFonts w:ascii="Aptos" w:hAnsi="Aptos"/>
          <w:color w:val="5B6773"/>
          <w:sz w:val="19"/>
        </w:rPr>
        <w:t>__________________________________________________________________</w:t>
      </w:r>
    </w:p>
    <w:p>
      <w:pPr>
        <w:spacing w:after="80"/>
      </w:pPr>
      <w:r>
        <w:rPr>
          <w:rFonts w:ascii="Aptos" w:hAnsi="Aptos"/>
          <w:b/>
          <w:color w:val="17365D"/>
          <w:sz w:val="19"/>
        </w:rPr>
        <w:t xml:space="preserve">Verified basis: </w:t>
      </w:r>
      <w:r>
        <w:rPr>
          <w:rFonts w:ascii="Aptos" w:hAnsi="Aptos"/>
          <w:color w:val="5B6773"/>
          <w:sz w:val="19"/>
        </w:rPr>
        <w:t>__________________________________________________________________</w:t>
      </w:r>
    </w:p>
    <w:p>
      <w:pPr>
        <w:spacing w:after="80"/>
      </w:pPr>
      <w:r>
        <w:rPr>
          <w:rFonts w:ascii="Aptos" w:hAnsi="Aptos"/>
          <w:b/>
          <w:color w:val="17365D"/>
          <w:sz w:val="19"/>
        </w:rPr>
        <w:t xml:space="preserve">Material options / tradeoffs: </w:t>
      </w:r>
      <w:r>
        <w:rPr>
          <w:rFonts w:ascii="Aptos" w:hAnsi="Aptos"/>
          <w:color w:val="5B6773"/>
          <w:sz w:val="19"/>
        </w:rPr>
        <w:t>__________________________________________________________________</w:t>
      </w:r>
    </w:p>
    <w:p>
      <w:pPr>
        <w:spacing w:after="80"/>
      </w:pPr>
      <w:r>
        <w:rPr>
          <w:rFonts w:ascii="Aptos" w:hAnsi="Aptos"/>
          <w:b/>
          <w:color w:val="17365D"/>
          <w:sz w:val="19"/>
        </w:rPr>
        <w:t xml:space="preserve">Open uncertainty: </w:t>
      </w:r>
      <w:r>
        <w:rPr>
          <w:rFonts w:ascii="Aptos" w:hAnsi="Aptos"/>
          <w:color w:val="5B6773"/>
          <w:sz w:val="19"/>
        </w:rPr>
        <w:t>__________________________________________________________________</w:t>
      </w:r>
    </w:p>
    <w:p>
      <w:pPr>
        <w:spacing w:after="80"/>
      </w:pPr>
      <w:r>
        <w:rPr>
          <w:rFonts w:ascii="Aptos" w:hAnsi="Aptos"/>
          <w:b/>
          <w:color w:val="17365D"/>
          <w:sz w:val="19"/>
        </w:rPr>
        <w:t xml:space="preserve">Execution owner / verification / rollback: </w:t>
      </w:r>
      <w:r>
        <w:rPr>
          <w:rFonts w:ascii="Aptos" w:hAnsi="Aptos"/>
          <w:color w:val="5B6773"/>
          <w:sz w:val="19"/>
        </w:rPr>
        <w:t>__________________________________________________________________</w:t>
      </w:r>
    </w:p>
    <w:p>
      <w:pPr>
        <w:pStyle w:val="Heading2"/>
        <w:pageBreakBefore/>
      </w:pPr>
      <w:r>
        <w:t>A4. Completion record</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400"/>
        <w:gridCol w:w="6960"/>
      </w:tblGrid>
      <w:tr>
        <w:trPr>
          <w:tblHeader w:val="true"/>
        </w:trPr>
        <w:tc>
          <w:tcPr>
            <w:tcW w:type="dxa" w:w="2400"/>
            <w:tcMar>
              <w:top w:w="100" w:type="dxa"/>
              <w:start w:w="120" w:type="dxa"/>
              <w:bottom w:w="100" w:type="dxa"/>
              <w:end w:w="120" w:type="dxa"/>
            </w:tcMar>
            <w:vAlign w:val="center"/>
            <w:shd w:fill="17365D"/>
          </w:tcPr>
          <w:p>
            <w:pPr>
              <w:spacing w:after="0"/>
              <w:ind w:left="0" w:firstLine="0"/>
            </w:pPr>
            <w:r>
              <w:rPr>
                <w:rFonts w:ascii="Aptos" w:hAnsi="Aptos"/>
                <w:b/>
                <w:color w:val="FFFFFF"/>
                <w:sz w:val="18"/>
              </w:rPr>
              <w:t>Field</w:t>
            </w:r>
          </w:p>
        </w:tc>
        <w:tc>
          <w:tcPr>
            <w:tcW w:type="dxa" w:w="6960"/>
            <w:tcMar>
              <w:top w:w="100" w:type="dxa"/>
              <w:start w:w="120" w:type="dxa"/>
              <w:bottom w:w="100" w:type="dxa"/>
              <w:end w:w="120" w:type="dxa"/>
            </w:tcMar>
            <w:vAlign w:val="center"/>
            <w:shd w:fill="17365D"/>
          </w:tcPr>
          <w:p>
            <w:pPr>
              <w:spacing w:after="0"/>
              <w:ind w:left="0" w:firstLine="0"/>
            </w:pPr>
            <w:r>
              <w:rPr>
                <w:rFonts w:ascii="Aptos" w:hAnsi="Aptos"/>
                <w:b/>
                <w:color w:val="FFFFFF"/>
                <w:sz w:val="18"/>
              </w:rPr>
              <w:t>Record</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Outcome / object</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Entity</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Accountable owner</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Controlling source</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Approval reference</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Executed by / date</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Verified by / date</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Verification method</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Proof location</w:t>
            </w:r>
          </w:p>
        </w:tc>
        <w:tc>
          <w:tcPr>
            <w:tcW w:type="dxa" w:w="6960"/>
            <w:tcMar>
              <w:top w:w="100" w:type="dxa"/>
              <w:start w:w="120" w:type="dxa"/>
              <w:bottom w:w="100" w:type="dxa"/>
              <w:end w:w="120" w:type="dxa"/>
            </w:tcMar>
            <w:vAlign w:val="center"/>
          </w:tcPr>
          <w:p>
            <w:pPr>
              <w:spacing w:after="0"/>
              <w:ind w:left="0" w:firstLine="0"/>
            </w:pP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Discrepancy / follow-up</w:t>
            </w:r>
          </w:p>
        </w:tc>
        <w:tc>
          <w:tcPr>
            <w:tcW w:type="dxa" w:w="6960"/>
            <w:tcMar>
              <w:top w:w="100" w:type="dxa"/>
              <w:start w:w="120" w:type="dxa"/>
              <w:bottom w:w="100" w:type="dxa"/>
              <w:end w:w="120" w:type="dxa"/>
            </w:tcMar>
            <w:vAlign w:val="center"/>
          </w:tcPr>
          <w:p>
            <w:pPr>
              <w:spacing w:after="0"/>
              <w:ind w:left="0" w:firstLine="0"/>
            </w:pPr>
          </w:p>
        </w:tc>
      </w:tr>
    </w:tbl>
    <w:p>
      <w:pPr>
        <w:spacing w:after="0" w:line="20" w:lineRule="exact"/>
      </w:pPr>
      <w:r>
        <w:rPr>
          <w:rFonts w:ascii="Aptos" w:hAnsi="Aptos"/>
          <w:color w:val="FFFFFF"/>
          <w:sz w:val="2"/>
        </w:rPr>
        <w:t xml:space="preserve"> </w:t>
      </w:r>
    </w:p>
    <w:p>
      <w:pPr>
        <w:pStyle w:val="Heading2"/>
        <w:pageBreakBefore/>
      </w:pPr>
      <w:r>
        <w:t>A5. Incident / exception record</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850"/>
        <w:gridCol w:w="6510"/>
      </w:tblGrid>
      <w:tr>
        <w:trPr>
          <w:tblHeader w:val="true"/>
        </w:trPr>
        <w:tc>
          <w:tcPr>
            <w:tcW w:type="dxa" w:w="2850"/>
            <w:tcMar>
              <w:top w:w="100" w:type="dxa"/>
              <w:start w:w="120" w:type="dxa"/>
              <w:bottom w:w="100" w:type="dxa"/>
              <w:end w:w="120" w:type="dxa"/>
            </w:tcMar>
            <w:vAlign w:val="center"/>
            <w:shd w:fill="17365D"/>
          </w:tcPr>
          <w:p>
            <w:pPr>
              <w:spacing w:after="0"/>
              <w:ind w:left="0" w:firstLine="0"/>
            </w:pPr>
            <w:r>
              <w:rPr>
                <w:rFonts w:ascii="Aptos" w:hAnsi="Aptos"/>
                <w:b/>
                <w:color w:val="FFFFFF"/>
                <w:sz w:val="18"/>
              </w:rPr>
              <w:t>Field</w:t>
            </w:r>
          </w:p>
        </w:tc>
        <w:tc>
          <w:tcPr>
            <w:tcW w:type="dxa" w:w="6510"/>
            <w:tcMar>
              <w:top w:w="100" w:type="dxa"/>
              <w:start w:w="120" w:type="dxa"/>
              <w:bottom w:w="100" w:type="dxa"/>
              <w:end w:w="120" w:type="dxa"/>
            </w:tcMar>
            <w:vAlign w:val="center"/>
            <w:shd w:fill="17365D"/>
          </w:tcPr>
          <w:p>
            <w:pPr>
              <w:spacing w:after="0"/>
              <w:ind w:left="0" w:firstLine="0"/>
            </w:pPr>
            <w:r>
              <w:rPr>
                <w:rFonts w:ascii="Aptos" w:hAnsi="Aptos"/>
                <w:b/>
                <w:color w:val="FFFFFF"/>
                <w:sz w:val="18"/>
              </w:rPr>
              <w:t>Record</w:t>
            </w: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Date / reporter</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Entity / affected object</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What was expected</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What occurred / known facts</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Immediate safety / containment action</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Evidence preserved</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Owner notified / approval</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Professional / provider routing</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Corrective action / owner / due date</w:t>
            </w:r>
          </w:p>
        </w:tc>
        <w:tc>
          <w:tcPr>
            <w:tcW w:type="dxa" w:w="6510"/>
            <w:tcMar>
              <w:top w:w="100" w:type="dxa"/>
              <w:start w:w="120" w:type="dxa"/>
              <w:bottom w:w="100" w:type="dxa"/>
              <w:end w:w="120" w:type="dxa"/>
            </w:tcMar>
            <w:vAlign w:val="center"/>
          </w:tcPr>
          <w:p>
            <w:pPr>
              <w:spacing w:after="0"/>
              <w:ind w:left="0" w:firstLine="0"/>
            </w:pPr>
          </w:p>
        </w:tc>
      </w:tr>
      <w:tr>
        <w:tc>
          <w:tcPr>
            <w:tcW w:type="dxa" w:w="2850"/>
            <w:tcMar>
              <w:top w:w="100" w:type="dxa"/>
              <w:start w:w="120" w:type="dxa"/>
              <w:bottom w:w="100" w:type="dxa"/>
              <w:end w:w="120" w:type="dxa"/>
            </w:tcMar>
            <w:vAlign w:val="center"/>
          </w:tcPr>
          <w:p>
            <w:pPr>
              <w:spacing w:after="0"/>
              <w:ind w:left="0" w:firstLine="0"/>
            </w:pPr>
            <w:r>
              <w:rPr>
                <w:rFonts w:ascii="Aptos" w:hAnsi="Aptos"/>
                <w:b w:val="0"/>
                <w:color w:val="17212B"/>
                <w:sz w:val="18"/>
              </w:rPr>
              <w:t>Closure proof</w:t>
            </w:r>
          </w:p>
        </w:tc>
        <w:tc>
          <w:tcPr>
            <w:tcW w:type="dxa" w:w="6510"/>
            <w:tcMar>
              <w:top w:w="100" w:type="dxa"/>
              <w:start w:w="120" w:type="dxa"/>
              <w:bottom w:w="100" w:type="dxa"/>
              <w:end w:w="120" w:type="dxa"/>
            </w:tcMar>
            <w:vAlign w:val="center"/>
          </w:tcPr>
          <w:p>
            <w:pPr>
              <w:spacing w:after="0"/>
              <w:ind w:left="0" w:firstLine="0"/>
            </w:pPr>
          </w:p>
        </w:tc>
      </w:tr>
    </w:tbl>
    <w:p>
      <w:pPr>
        <w:spacing w:after="0" w:line="20" w:lineRule="exact"/>
      </w:pPr>
      <w:r>
        <w:rPr>
          <w:rFonts w:ascii="Aptos" w:hAnsi="Aptos"/>
          <w:color w:val="FFFFFF"/>
          <w:sz w:val="2"/>
        </w:rPr>
        <w:t xml:space="preserve"> </w:t>
      </w:r>
    </w:p>
    <w:p>
      <w:pPr>
        <w:pStyle w:val="Heading1"/>
        <w:pageBreakBefore/>
      </w:pPr>
      <w:r>
        <w:t>Appendix B. Owner and Professional Review Checklist</w:t>
      </w:r>
    </w:p>
    <w:p>
      <w:pPr>
        <w:pStyle w:val="Checklist"/>
      </w:pPr>
      <w:r>
        <w:rPr>
          <w:rFonts w:ascii="Arial" w:hAnsi="Arial"/>
          <w:color w:val="2E74B5"/>
          <w:sz w:val="21"/>
        </w:rPr>
        <w:t xml:space="preserve">☐  </w:t>
      </w:r>
      <w:r>
        <w:rPr>
          <w:rFonts w:ascii="Aptos" w:hAnsi="Aptos"/>
          <w:color w:val="17212B"/>
          <w:sz w:val="20"/>
        </w:rPr>
        <w:t>Confirm this manual is the intended sole organization-wide internal procedure source, while the employee handbook and onboarding materials remain separate.</w:t>
      </w:r>
    </w:p>
    <w:p>
      <w:pPr>
        <w:pStyle w:val="Checklist"/>
      </w:pPr>
      <w:r>
        <w:rPr>
          <w:rFonts w:ascii="Arial" w:hAnsi="Arial"/>
          <w:color w:val="2E74B5"/>
          <w:sz w:val="21"/>
        </w:rPr>
        <w:t xml:space="preserve">☐  </w:t>
      </w:r>
      <w:r>
        <w:rPr>
          <w:rFonts w:ascii="Aptos" w:hAnsi="Aptos"/>
          <w:color w:val="17212B"/>
          <w:sz w:val="20"/>
        </w:rPr>
        <w:t>Confirm the authority matrix and whether any delegation must be named in a separate, controlled schedule.</w:t>
      </w:r>
    </w:p>
    <w:p>
      <w:pPr>
        <w:pStyle w:val="Checklist"/>
      </w:pPr>
      <w:r>
        <w:rPr>
          <w:rFonts w:ascii="Arial" w:hAnsi="Arial"/>
          <w:color w:val="2E74B5"/>
          <w:sz w:val="21"/>
        </w:rPr>
        <w:t xml:space="preserve">☐  </w:t>
      </w:r>
      <w:r>
        <w:rPr>
          <w:rFonts w:ascii="Aptos" w:hAnsi="Aptos"/>
          <w:color w:val="17212B"/>
          <w:sz w:val="20"/>
        </w:rPr>
        <w:t>Confirm the Company service boundary and related-entity/client separation language.</w:t>
      </w:r>
    </w:p>
    <w:p>
      <w:pPr>
        <w:pStyle w:val="Checklist"/>
      </w:pPr>
      <w:r>
        <w:rPr>
          <w:rFonts w:ascii="Arial" w:hAnsi="Arial"/>
          <w:color w:val="2E74B5"/>
          <w:sz w:val="21"/>
        </w:rPr>
        <w:t xml:space="preserve">☐  </w:t>
      </w:r>
      <w:r>
        <w:rPr>
          <w:rFonts w:ascii="Aptos" w:hAnsi="Aptos"/>
          <w:color w:val="17212B"/>
          <w:sz w:val="20"/>
        </w:rPr>
        <w:t>Confirm the exact systems, storage locations, secure channels, and access-register owner referenced by future companion procedures.</w:t>
      </w:r>
    </w:p>
    <w:p>
      <w:pPr>
        <w:pStyle w:val="Checklist"/>
      </w:pPr>
      <w:r>
        <w:rPr>
          <w:rFonts w:ascii="Arial" w:hAnsi="Arial"/>
          <w:color w:val="2E74B5"/>
          <w:sz w:val="21"/>
        </w:rPr>
        <w:t xml:space="preserve">☐  </w:t>
      </w:r>
      <w:r>
        <w:rPr>
          <w:rFonts w:ascii="Aptos" w:hAnsi="Aptos"/>
          <w:color w:val="17212B"/>
          <w:sz w:val="20"/>
        </w:rPr>
        <w:t>Confirm financial approval, external communication, publication, access-change, filing, signature, and deletion gates.</w:t>
      </w:r>
    </w:p>
    <w:p>
      <w:pPr>
        <w:pStyle w:val="Checklist"/>
      </w:pPr>
      <w:r>
        <w:rPr>
          <w:rFonts w:ascii="Arial" w:hAnsi="Arial"/>
          <w:color w:val="2E74B5"/>
          <w:sz w:val="21"/>
        </w:rPr>
        <w:t xml:space="preserve">☐  Have employment/privacy counsel for the actual work jurisdictions review only the provisions that affect workers, monitoring, equipment, safety, and employment records before issuance.</w:t>
      </w:r>
      <w:r>
        <w:rPr>
          <w:rFonts w:ascii="Aptos" w:hAnsi="Aptos"/>
          <w:color w:val="17212B"/>
          <w:sz w:val="20"/>
        </w:rPr>
        <w:t/>
      </w:r>
    </w:p>
    <w:p>
      <w:pPr>
        <w:pStyle w:val="Checklist"/>
      </w:pPr>
      <w:r>
        <w:rPr>
          <w:rFonts w:ascii="Arial" w:hAnsi="Arial"/>
          <w:color w:val="2E74B5"/>
          <w:sz w:val="21"/>
        </w:rPr>
        <w:t xml:space="preserve">☐  </w:t>
      </w:r>
      <w:r>
        <w:rPr>
          <w:rFonts w:ascii="Aptos" w:hAnsi="Aptos"/>
          <w:color w:val="17212B"/>
          <w:sz w:val="20"/>
        </w:rPr>
        <w:t>Have the CPA/payroll professional review only the operating procedures that touch financial controls, tax records, payroll administration, or accounting responsibility.</w:t>
      </w:r>
    </w:p>
    <w:p>
      <w:pPr>
        <w:pStyle w:val="Checklist"/>
      </w:pPr>
      <w:r>
        <w:rPr>
          <w:rFonts w:ascii="Arial" w:hAnsi="Arial"/>
          <w:color w:val="2E74B5"/>
          <w:sz w:val="21"/>
        </w:rPr>
        <w:t xml:space="preserve">☐  </w:t>
      </w:r>
      <w:r>
        <w:rPr>
          <w:rFonts w:ascii="Aptos" w:hAnsi="Aptos"/>
          <w:color w:val="17212B"/>
          <w:sz w:val="20"/>
        </w:rPr>
        <w:t>Have the insurance broker confirm that procedures do not misstate bound coverage, notice duties, or claims handling.</w:t>
      </w:r>
    </w:p>
    <w:p>
      <w:pPr>
        <w:pStyle w:val="Checklist"/>
      </w:pPr>
      <w:r>
        <w:rPr>
          <w:rFonts w:ascii="Arial" w:hAnsi="Arial"/>
          <w:color w:val="2E74B5"/>
          <w:sz w:val="21"/>
        </w:rPr>
        <w:t xml:space="preserve">☐  </w:t>
      </w:r>
      <w:r>
        <w:rPr>
          <w:rFonts w:ascii="Aptos" w:hAnsi="Aptos"/>
          <w:color w:val="17212B"/>
          <w:sz w:val="20"/>
        </w:rPr>
        <w:t>Have qualified counsel or licensing professionals review client-service, contract, licensing, regulated-activity, and retention provisions as the Company activates those lanes.</w:t>
      </w:r>
    </w:p>
    <w:p>
      <w:pPr>
        <w:pStyle w:val="Checklist"/>
      </w:pPr>
      <w:r>
        <w:rPr>
          <w:rFonts w:ascii="Arial" w:hAnsi="Arial"/>
          <w:color w:val="2E74B5"/>
          <w:sz w:val="21"/>
        </w:rPr>
        <w:t xml:space="preserve">☐  </w:t>
      </w:r>
      <w:r>
        <w:rPr>
          <w:rFonts w:ascii="Aptos" w:hAnsi="Aptos"/>
          <w:color w:val="17212B"/>
          <w:sz w:val="20"/>
        </w:rPr>
        <w:t>After review, record approved revisions, effective date, owner, superseded source, distribution, acknowledgements if applicable, and the next scheduled review.</w:t>
      </w:r>
    </w:p>
    <w:tbl>
      <w:tblPr>
        <w:tblW w:type="dxa" w:w="9360"/>
        <w:jc w:val="left"/>
        <w:tblLayout w:type="fixed"/>
        <w:tblLook w:firstColumn="1" w:firstRow="1" w:lastColumn="0" w:lastRow="0" w:noHBand="0" w:noVBand="1" w:val="04A0"/>
        <w:tblInd w:w="120" w:type="dxa"/>
        <w:tblBorders>
          <w:top w:val="single" w:sz="8" w:space="0" w:color="9B1C1C"/>
          <w:left w:val="single" w:sz="8" w:space="0" w:color="9B1C1C"/>
          <w:bottom w:val="single" w:sz="8" w:space="0" w:color="9B1C1C"/>
          <w:right w:val="single" w:sz="8" w:space="0" w:color="9B1C1C"/>
          <w:insideH w:val="single" w:sz="8" w:space="0" w:color="9B1C1C"/>
          <w:insideV w:val="single" w:sz="8" w:space="0" w:color="9B1C1C"/>
        </w:tblBorders>
      </w:tblPr>
      <w:tblGrid>
        <w:gridCol w:w="9360"/>
      </w:tblGrid>
      <w:tr>
        <w:trPr>
          <w:tblHeader w:val="true"/>
        </w:trPr>
        <w:tc>
          <w:tcPr>
            <w:tcW w:type="dxa" w:w="9360"/>
            <w:tcMar>
              <w:top w:w="130" w:type="dxa"/>
              <w:start w:w="180" w:type="dxa"/>
              <w:bottom w:w="130" w:type="dxa"/>
              <w:end w:w="180" w:type="dxa"/>
            </w:tcMar>
            <w:vAlign w:val="center"/>
            <w:shd w:fill="FCE8E6"/>
          </w:tcPr>
          <w:p>
            <w:pPr>
              <w:spacing w:after="0"/>
            </w:pPr>
            <w:r>
              <w:rPr>
                <w:rFonts w:ascii="Aptos" w:hAnsi="Aptos"/>
                <w:b/>
                <w:color w:val="9B1C1C"/>
                <w:sz w:val="19"/>
              </w:rPr>
              <w:t xml:space="preserve">CURRENT STATUS  </w:t>
            </w:r>
            <w:r>
              <w:rPr>
                <w:rFonts w:ascii="Aptos" w:hAnsi="Aptos"/>
                <w:color w:val="17212B"/>
                <w:sz w:val="19"/>
              </w:rPr>
              <w:t>Review candidate only. No external communication, upload, publication, access change, purchase, filing, signature, policy issuance, or operational-system change was performed in creating this manual.</w:t>
            </w:r>
          </w:p>
        </w:tc>
      </w:tr>
    </w:tbl>
    <w:p>
      <w:pPr>
        <w:spacing w:after="20"/>
      </w:pPr>
    </w:p>
    <w:p>
      <w:pPr>
        <w:pStyle w:val="Heading1"/>
        <w:pageBreakBefore/>
      </w:pPr>
      <w:r>
        <w:t>Appendix C. Source Basis and Companion Documents</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1750"/>
        <w:gridCol w:w="4200"/>
        <w:gridCol w:w="3410"/>
      </w:tblGrid>
      <w:tr>
        <w:trPr>
          <w:tblHeader w:val="true"/>
        </w:trPr>
        <w:tc>
          <w:tcPr>
            <w:tcW w:type="dxa" w:w="1750"/>
            <w:tcMar>
              <w:top w:w="100" w:type="dxa"/>
              <w:start w:w="120" w:type="dxa"/>
              <w:bottom w:w="100" w:type="dxa"/>
              <w:end w:w="120" w:type="dxa"/>
            </w:tcMar>
            <w:vAlign w:val="center"/>
            <w:shd w:fill="17365D"/>
          </w:tcPr>
          <w:p>
            <w:pPr>
              <w:spacing w:after="0"/>
              <w:ind w:left="0" w:firstLine="0"/>
            </w:pPr>
            <w:r>
              <w:rPr>
                <w:rFonts w:ascii="Aptos" w:hAnsi="Aptos"/>
                <w:b/>
                <w:color w:val="FFFFFF"/>
                <w:sz w:val="16"/>
              </w:rPr>
              <w:t>Status</w:t>
            </w:r>
          </w:p>
        </w:tc>
        <w:tc>
          <w:tcPr>
            <w:tcW w:type="dxa" w:w="4200"/>
            <w:tcMar>
              <w:top w:w="100" w:type="dxa"/>
              <w:start w:w="120" w:type="dxa"/>
              <w:bottom w:w="100" w:type="dxa"/>
              <w:end w:w="120" w:type="dxa"/>
            </w:tcMar>
            <w:vAlign w:val="center"/>
            <w:shd w:fill="17365D"/>
          </w:tcPr>
          <w:p>
            <w:pPr>
              <w:spacing w:after="0"/>
              <w:ind w:left="0" w:firstLine="0"/>
            </w:pPr>
            <w:r>
              <w:rPr>
                <w:rFonts w:ascii="Aptos" w:hAnsi="Aptos"/>
                <w:b/>
                <w:color w:val="FFFFFF"/>
                <w:sz w:val="16"/>
              </w:rPr>
              <w:t>Source</w:t>
            </w:r>
          </w:p>
        </w:tc>
        <w:tc>
          <w:tcPr>
            <w:tcW w:type="dxa" w:w="3410"/>
            <w:tcMar>
              <w:top w:w="100" w:type="dxa"/>
              <w:start w:w="120" w:type="dxa"/>
              <w:bottom w:w="100" w:type="dxa"/>
              <w:end w:w="120" w:type="dxa"/>
            </w:tcMar>
            <w:vAlign w:val="center"/>
            <w:shd w:fill="17365D"/>
          </w:tcPr>
          <w:p>
            <w:pPr>
              <w:spacing w:after="0"/>
              <w:ind w:left="0" w:firstLine="0"/>
            </w:pPr>
            <w:r>
              <w:rPr>
                <w:rFonts w:ascii="Aptos" w:hAnsi="Aptos"/>
                <w:b/>
                <w:color w:val="FFFFFF"/>
                <w:sz w:val="16"/>
              </w:rPr>
              <w:t>Material reused</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Template reference</w:t>
            </w:r>
          </w:p>
        </w:tc>
        <w:tc>
          <w:tcPr>
            <w:tcW w:type="dxa" w:w="4200"/>
            <w:tcMar>
              <w:top w:w="100" w:type="dxa"/>
              <w:start w:w="120" w:type="dxa"/>
              <w:bottom w:w="100" w:type="dxa"/>
              <w:end w:w="120" w:type="dxa"/>
            </w:tcMar>
            <w:vAlign w:val="center"/>
          </w:tcPr>
          <w:p>
            <w:pPr>
              <w:spacing w:after="0"/>
              <w:ind w:left="0" w:firstLine="0"/>
            </w:pPr>
            <w:r>
              <w:rPr>
                <w:rFonts w:ascii="Aptos" w:hAnsi="Aptos"/>
                <w:b w:val="0"/>
                <w:color w:val="17212B"/>
                <w:sz w:val="16"/>
              </w:rPr>
              <w:t>Retained CSG Operations Manual local review candidate dated August 21, 2026</w:t>
            </w:r>
          </w:p>
        </w:tc>
        <w:tc>
          <w:tcPr>
            <w:tcW w:type="dxa" w:w="3410"/>
            <w:tcMar>
              <w:top w:w="100" w:type="dxa"/>
              <w:start w:w="120" w:type="dxa"/>
              <w:bottom w:w="100" w:type="dxa"/>
              <w:end w:w="120" w:type="dxa"/>
            </w:tcMar>
            <w:vAlign w:val="center"/>
          </w:tcPr>
          <w:p>
            <w:pPr>
              <w:spacing w:after="0"/>
              <w:ind w:left="0" w:firstLine="0"/>
            </w:pPr>
            <w:r>
              <w:rPr>
                <w:rFonts w:ascii="Aptos" w:hAnsi="Aptos"/>
                <w:b w:val="0"/>
                <w:color w:val="17212B"/>
                <w:sz w:val="16"/>
              </w:rPr>
              <w:t>Full procedure structure, approval and evidence standards, records controls and reusable operating templates.</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Owner preparation</w:t>
            </w:r>
          </w:p>
        </w:tc>
        <w:tc>
          <w:tcPr>
            <w:tcW w:type="dxa" w:w="4200"/>
            <w:tcMar>
              <w:top w:w="100" w:type="dxa"/>
              <w:start w:w="120" w:type="dxa"/>
              <w:bottom w:w="100" w:type="dxa"/>
              <w:end w:w="120" w:type="dxa"/>
            </w:tcMar>
            <w:vAlign w:val="center"/>
          </w:tcPr>
          <w:p>
            <w:pPr>
              <w:spacing w:after="0"/>
              <w:ind w:left="0" w:firstLine="0"/>
            </w:pPr>
            <w:r>
              <w:rPr>
                <w:rFonts w:ascii="Aptos" w:hAnsi="Aptos"/>
                <w:b w:val="0"/>
                <w:color w:val="17212B"/>
                <w:sz w:val="16"/>
              </w:rPr>
              <w:t>Owner Setup and Tailoring Checklist</w:t>
            </w:r>
          </w:p>
        </w:tc>
        <w:tc>
          <w:tcPr>
            <w:tcW w:type="dxa" w:w="3410"/>
            <w:tcMar>
              <w:top w:w="100" w:type="dxa"/>
              <w:start w:w="120" w:type="dxa"/>
              <w:bottom w:w="100" w:type="dxa"/>
              <w:end w:w="120" w:type="dxa"/>
            </w:tcMar>
            <w:vAlign w:val="center"/>
          </w:tcPr>
          <w:p>
            <w:pPr>
              <w:spacing w:after="0"/>
              <w:ind w:left="0" w:firstLine="0"/>
            </w:pPr>
            <w:r>
              <w:rPr>
                <w:rFonts w:ascii="Aptos" w:hAnsi="Aptos"/>
                <w:b w:val="0"/>
                <w:color w:val="17212B"/>
                <w:sz w:val="16"/>
              </w:rPr>
              <w:t>Unresolved company choices and review points before adoption.</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Recipient resource</w:t>
            </w:r>
          </w:p>
        </w:tc>
        <w:tc>
          <w:tcPr>
            <w:tcW w:type="dxa" w:w="4200"/>
            <w:tcMar>
              <w:top w:w="100" w:type="dxa"/>
              <w:start w:w="120" w:type="dxa"/>
              <w:bottom w:w="100" w:type="dxa"/>
              <w:end w:w="120" w:type="dxa"/>
            </w:tcMar>
            <w:vAlign w:val="center"/>
          </w:tcPr>
          <w:p>
            <w:pPr>
              <w:spacing w:after="0"/>
              <w:ind w:left="0" w:firstLine="0"/>
            </w:pPr>
            <w:r>
              <w:rPr>
                <w:rFonts w:ascii="Aptos" w:hAnsi="Aptos"/>
                <w:b w:val="0"/>
                <w:color w:val="17212B"/>
                <w:sz w:val="16"/>
              </w:rPr>
              <w:t>Operational Registers and Closeout Templates</w:t>
            </w:r>
          </w:p>
        </w:tc>
        <w:tc>
          <w:tcPr>
            <w:tcW w:type="dxa" w:w="3410"/>
            <w:tcMar>
              <w:top w:w="100" w:type="dxa"/>
              <w:start w:w="120" w:type="dxa"/>
              <w:bottom w:w="100" w:type="dxa"/>
              <w:end w:w="120" w:type="dxa"/>
            </w:tcMar>
            <w:vAlign w:val="center"/>
          </w:tcPr>
          <w:p>
            <w:pPr>
              <w:spacing w:after="0"/>
              <w:ind w:left="0" w:firstLine="0"/>
            </w:pPr>
            <w:r>
              <w:rPr>
                <w:rFonts w:ascii="Aptos" w:hAnsi="Aptos"/>
                <w:b w:val="0"/>
                <w:color w:val="17212B"/>
                <w:sz w:val="16"/>
              </w:rPr>
              <w:t>Blank assignment, access, device, provider and period-close records.</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Recipient resource</w:t>
            </w:r>
          </w:p>
        </w:tc>
        <w:tc>
          <w:tcPr>
            <w:tcW w:type="dxa" w:w="4200"/>
            <w:tcMar>
              <w:top w:w="100" w:type="dxa"/>
              <w:start w:w="120" w:type="dxa"/>
              <w:bottom w:w="100" w:type="dxa"/>
              <w:end w:w="120" w:type="dxa"/>
            </w:tcMar>
            <w:vAlign w:val="center"/>
          </w:tcPr>
          <w:p>
            <w:pPr>
              <w:spacing w:after="0"/>
              <w:ind w:left="0" w:firstLine="0"/>
            </w:pPr>
            <w:r>
              <w:rPr>
                <w:rFonts w:ascii="Aptos" w:hAnsi="Aptos"/>
                <w:b w:val="0"/>
                <w:color w:val="17212B"/>
                <w:sz w:val="16"/>
              </w:rPr>
              <w:t>Employee Handbook and Employee Offer and Onboarding Record</w:t>
            </w:r>
          </w:p>
        </w:tc>
        <w:tc>
          <w:tcPr>
            <w:tcW w:type="dxa" w:w="3410"/>
            <w:tcMar>
              <w:top w:w="100" w:type="dxa"/>
              <w:start w:w="120" w:type="dxa"/>
              <w:bottom w:w="100" w:type="dxa"/>
              <w:end w:w="120" w:type="dxa"/>
            </w:tcMar>
            <w:vAlign w:val="center"/>
          </w:tcPr>
          <w:p>
            <w:pPr>
              <w:spacing w:after="0"/>
              <w:ind w:left="0" w:firstLine="0"/>
            </w:pPr>
            <w:r>
              <w:rPr>
                <w:rFonts w:ascii="Aptos" w:hAnsi="Aptos"/>
                <w:b w:val="0"/>
                <w:color w:val="17212B"/>
                <w:sz w:val="16"/>
              </w:rPr>
              <w:t>Separate employee-facing policies, offer terms and onboarding fields; not adopted.</w:t>
            </w:r>
          </w:p>
        </w:tc>
      </w:tr>
      <w:tr>
        <w:tc>
          <w:tcPr>
            <w:tcW w:type="dxa" w:w="1750"/>
            <w:tcMar>
              <w:top w:w="100" w:type="dxa"/>
              <w:start w:w="120" w:type="dxa"/>
              <w:bottom w:w="100" w:type="dxa"/>
              <w:end w:w="120" w:type="dxa"/>
            </w:tcMar>
            <w:vAlign w:val="center"/>
          </w:tcPr>
          <w:p>
            <w:pPr>
              <w:spacing w:after="0"/>
              <w:ind w:left="0" w:firstLine="0"/>
            </w:pPr>
            <w:r>
              <w:rPr>
                <w:rFonts w:ascii="Aptos" w:hAnsi="Aptos"/>
                <w:b w:val="0"/>
                <w:color w:val="17212B"/>
                <w:sz w:val="16"/>
              </w:rPr>
              <w:t>Package context</w:t>
            </w:r>
          </w:p>
        </w:tc>
        <w:tc>
          <w:tcPr>
            <w:tcW w:type="dxa" w:w="4200"/>
            <w:tcMar>
              <w:top w:w="100" w:type="dxa"/>
              <w:start w:w="120" w:type="dxa"/>
              <w:bottom w:w="100" w:type="dxa"/>
              <w:end w:w="120" w:type="dxa"/>
            </w:tcMar>
            <w:vAlign w:val="center"/>
          </w:tcPr>
          <w:p>
            <w:pPr>
              <w:spacing w:after="0"/>
              <w:ind w:left="0" w:firstLine="0"/>
            </w:pPr>
            <w:r>
              <w:rPr>
                <w:rFonts w:ascii="Aptos" w:hAnsi="Aptos"/>
                <w:b w:val="0"/>
                <w:color w:val="17212B"/>
                <w:sz w:val="16"/>
              </w:rPr>
              <w:t>Private working review package</w:t>
            </w:r>
          </w:p>
        </w:tc>
        <w:tc>
          <w:tcPr>
            <w:tcW w:type="dxa" w:w="3410"/>
            <w:tcMar>
              <w:top w:w="100" w:type="dxa"/>
              <w:start w:w="120" w:type="dxa"/>
              <w:bottom w:w="100" w:type="dxa"/>
              <w:end w:w="120" w:type="dxa"/>
            </w:tcMar>
            <w:vAlign w:val="center"/>
          </w:tcPr>
          <w:p>
            <w:pPr>
              <w:spacing w:after="0"/>
              <w:ind w:left="0" w:firstLine="0"/>
            </w:pPr>
            <w:r>
              <w:rPr>
                <w:rFonts w:ascii="Aptos" w:hAnsi="Aptos"/>
                <w:b w:val="0"/>
                <w:color w:val="17212B"/>
                <w:sz w:val="16"/>
              </w:rPr>
              <w:t>Not an issued company procedure or an agreement for continuing services.</w:t>
            </w:r>
          </w:p>
        </w:tc>
      </w:tr>
    </w:tbl>
    <w:p>
      <w:pPr>
        <w:spacing w:after="0" w:line="20" w:lineRule="exact"/>
      </w:pPr>
      <w:r>
        <w:rPr>
          <w:rFonts w:ascii="Aptos" w:hAnsi="Aptos"/>
          <w:color w:val="FFFFFF"/>
          <w:sz w:val="2"/>
        </w:rPr>
        <w:t xml:space="preserve"> </w:t>
      </w:r>
    </w:p>
    <w:p>
      <w:pPr>
        <w:pStyle w:val="Heading2"/>
      </w:pPr>
      <w:r>
        <w:t>Source-handling note</w:t>
      </w:r>
    </w:p>
    <w:p>
      <w:pPr/>
      <w:r>
        <w:rPr>
          <w:rFonts w:ascii="Aptos" w:hAnsi="Aptos"/>
          <w:color w:val="17212B"/>
          <w:sz w:val="21"/>
        </w:rPr>
        <w:t>This review candidate consolidates reusable operational controls; it intentionally omits time-sensitive employee pay, classification, payroll configuration, insurance status, licensing status, tax treatment, employee-start details, and client-specific activation decisions. No source was renamed, moved, deleted, uploaded, or modified.</w:t>
      </w:r>
    </w:p>
    <w:p>
      <w:pPr>
        <w:pStyle w:val="Heading2"/>
      </w:pPr>
      <w:r>
        <w:t>Document control</w:t>
      </w:r>
    </w:p>
    <w:tbl>
      <w:tblPr>
        <w:tblW w:type="dxa" w:w="9360"/>
        <w:tblLayout w:type="fixed"/>
        <w:tblLook w:firstColumn="1" w:firstRow="1" w:lastColumn="0" w:lastRow="0" w:noHBand="0" w:noVBand="1" w:val="04A0"/>
        <w:jc w:val="left"/>
        <w:tblInd w:w="120" w:type="dxa"/>
        <w:tblBorders>
          <w:top w:val="single" w:sz="6" w:space="0" w:color="CBD3DB"/>
          <w:left w:val="single" w:sz="6" w:space="0" w:color="CBD3DB"/>
          <w:bottom w:val="single" w:sz="6" w:space="0" w:color="CBD3DB"/>
          <w:right w:val="single" w:sz="6" w:space="0" w:color="CBD3DB"/>
          <w:insideH w:val="single" w:sz="6" w:space="0" w:color="CBD3DB"/>
          <w:insideV w:val="single" w:sz="6" w:space="0" w:color="CBD3DB"/>
        </w:tblBorders>
      </w:tblPr>
      <w:tblGrid>
        <w:gridCol w:w="2400"/>
        <w:gridCol w:w="6960"/>
      </w:tblGrid>
      <w:tr>
        <w:trPr>
          <w:tblHeader w:val="true"/>
        </w:trPr>
        <w:tc>
          <w:tcPr>
            <w:tcW w:type="dxa" w:w="2400"/>
            <w:tcMar>
              <w:top w:w="100" w:type="dxa"/>
              <w:start w:w="120" w:type="dxa"/>
              <w:bottom w:w="100" w:type="dxa"/>
              <w:end w:w="120" w:type="dxa"/>
            </w:tcMar>
            <w:vAlign w:val="center"/>
            <w:shd w:fill="17365D"/>
          </w:tcPr>
          <w:p>
            <w:pPr>
              <w:spacing w:after="0"/>
              <w:ind w:left="0" w:firstLine="0"/>
            </w:pPr>
            <w:r>
              <w:rPr>
                <w:rFonts w:ascii="Aptos" w:hAnsi="Aptos"/>
                <w:b/>
                <w:color w:val="FFFFFF"/>
                <w:sz w:val="18"/>
              </w:rPr>
              <w:t>Field</w:t>
            </w:r>
          </w:p>
        </w:tc>
        <w:tc>
          <w:tcPr>
            <w:tcW w:type="dxa" w:w="6960"/>
            <w:tcMar>
              <w:top w:w="100" w:type="dxa"/>
              <w:start w:w="120" w:type="dxa"/>
              <w:bottom w:w="100" w:type="dxa"/>
              <w:end w:w="120" w:type="dxa"/>
            </w:tcMar>
            <w:vAlign w:val="center"/>
            <w:shd w:fill="17365D"/>
          </w:tcPr>
          <w:p>
            <w:pPr>
              <w:spacing w:after="0"/>
              <w:ind w:left="0" w:firstLine="0"/>
            </w:pPr>
            <w:r>
              <w:rPr>
                <w:rFonts w:ascii="Aptos" w:hAnsi="Aptos"/>
                <w:b/>
                <w:color w:val="FFFFFF"/>
                <w:sz w:val="18"/>
              </w:rPr>
              <w:t>Value</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Document title</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EDM Overhaulers Operations Manual</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Status</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Adaptation draft — Not adopted or executed</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Candidate date</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September 15, 2026</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Owner</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EDM Overhaulers / Owner or authorized decision maker</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Next action</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Owner review, targeted professional review, revision, and explicit issuance decision</w:t>
            </w:r>
          </w:p>
        </w:tc>
      </w:tr>
      <w:tr>
        <w:tc>
          <w:tcPr>
            <w:tcW w:type="dxa" w:w="2400"/>
            <w:tcMar>
              <w:top w:w="100" w:type="dxa"/>
              <w:start w:w="120" w:type="dxa"/>
              <w:bottom w:w="100" w:type="dxa"/>
              <w:end w:w="120" w:type="dxa"/>
            </w:tcMar>
            <w:vAlign w:val="center"/>
          </w:tcPr>
          <w:p>
            <w:pPr>
              <w:spacing w:after="0"/>
              <w:ind w:left="0" w:firstLine="0"/>
            </w:pPr>
            <w:r>
              <w:rPr>
                <w:rFonts w:ascii="Aptos" w:hAnsi="Aptos"/>
                <w:b w:val="0"/>
                <w:color w:val="17212B"/>
                <w:sz w:val="18"/>
              </w:rPr>
              <w:t>Supersession</w:t>
            </w:r>
          </w:p>
        </w:tc>
        <w:tc>
          <w:tcPr>
            <w:tcW w:type="dxa" w:w="6960"/>
            <w:tcMar>
              <w:top w:w="100" w:type="dxa"/>
              <w:start w:w="120" w:type="dxa"/>
              <w:bottom w:w="100" w:type="dxa"/>
              <w:end w:w="120" w:type="dxa"/>
            </w:tcMar>
            <w:vAlign w:val="center"/>
          </w:tcPr>
          <w:p>
            <w:pPr>
              <w:spacing w:after="0"/>
              <w:ind w:left="0" w:firstLine="0"/>
            </w:pPr>
            <w:r>
              <w:rPr>
                <w:rFonts w:ascii="Aptos" w:hAnsi="Aptos"/>
                <w:b w:val="0"/>
                <w:color w:val="17212B"/>
                <w:sz w:val="18"/>
              </w:rPr>
              <w:t>No adoption by this draft. Preserve existing approved company policies until the owner authorizes a reviewed replacement.</w:t>
            </w:r>
          </w:p>
        </w:tc>
      </w:tr>
    </w:tbl>
    <w:p>
      <w:pPr>
        <w:spacing w:after="0" w:line="20" w:lineRule="exact"/>
      </w:pPr>
      <w:r>
        <w:rPr>
          <w:rFonts w:ascii="Aptos" w:hAnsi="Aptos"/>
          <w:color w:val="FFFFFF"/>
          <w:sz w:val="2"/>
        </w:rPr>
        <w:t xml:space="preserve"> </w:t>
      </w:r>
    </w:p>
    <w:p>
      <w:pPr>
        <w:pStyle w:val="Heading1"/>
        <w:pageBreakBefore/>
      </w:pPr>
      <w:r>
        <w:t xml:space="preserve">Appendix D Company Implementation Checklist</w:t>
      </w:r>
    </w:p>
    <w:p>
      <w:pPr>
        <w:pStyle w:val="Heading1"/>
      </w:pPr>
      <w:r>
        <w:t>1 Purpose and authority</w:t>
      </w:r>
    </w:p>
    <w:p>
      <w:r>
        <w:t>This manual establishes how the Company receives work, approves commitments, keeps records, protects information, and closes assignments. The owner retains Company decisions and appoints any person authorized to act for the Company.</w:t>
      </w:r>
    </w:p>
    <w:p>
      <w:pPr>
        <w:pStyle w:val="Heading1"/>
      </w:pPr>
      <w:r>
        <w:t>2 Work intake and assignment</w:t>
      </w:r>
    </w:p>
    <w:p>
      <w:r>
        <w:t>Record the customer, project, requested result, scope, price or approved budget, responsible person, due date, finish condition, and record location before work begins.</w:t>
      </w:r>
    </w:p>
    <w:p>
      <w:r>
        <w:t>Assign one responsible person for each active deliverable. The responsible person returns the completed work and supporting records to the stated location.</w:t>
      </w:r>
    </w:p>
    <w:p>
      <w:r>
        <w:t>Record changes to scope, price, due date, authority, or customer commitment before the changed work begins.</w:t>
      </w:r>
    </w:p>
    <w:p>
      <w:pPr>
        <w:pStyle w:val="Heading1"/>
      </w:pPr>
      <w:r>
        <w:t>3 Contracting and customer work</w:t>
      </w:r>
    </w:p>
    <w:p>
      <w:r>
        <w:t>The Manager approves the customer, final scope, price, contract, and person authorized to sign.</w:t>
      </w:r>
    </w:p>
    <w:p>
      <w:r>
        <w:t>Use a written scope for every paid engagement. State deliverables, customer responsibilities, acceptance, schedule, fees, expenses, confidentiality, data handling, intellectual-property terms, and termination.</w:t>
      </w:r>
    </w:p>
    <w:p>
      <w:r>
        <w:t>Store the signed agreement, change orders, work product, acceptance, invoice, and payment record in the customer file.</w:t>
      </w:r>
    </w:p>
    <w:p>
      <w:pPr>
        <w:pStyle w:val="Heading1"/>
      </w:pPr>
      <w:r>
        <w:t>4 Purchasing and payments</w:t>
      </w:r>
    </w:p>
    <w:p>
      <w:r>
        <w:t>Obtain the Manager's approval before committing Company funds.</w:t>
      </w:r>
    </w:p>
    <w:p>
      <w:r>
        <w:t>The purchase record identifies the vendor, item or service, business purpose, amount, entity, payment source, approver, invoice or receipt, and destination or custodian.</w:t>
      </w:r>
    </w:p>
    <w:p>
      <w:r>
        <w:t>Match each payment to its invoice, receipt, contract, or approved schedule before bookkeeping entry.</w:t>
      </w:r>
    </w:p>
    <w:p>
      <w:r>
        <w:t>Reconcile bank, card, payment-service, and subscription activity monthly.</w:t>
      </w:r>
    </w:p>
    <w:p>
      <w:pPr>
        <w:pStyle w:val="Heading1"/>
      </w:pPr>
      <w:r>
        <w:t>5 Vendors and contractors</w:t>
      </w:r>
    </w:p>
    <w:p>
      <w:r>
        <w:t>Complete the vendor record before work begins: legal name, tax form, scope, rate, term, insurance and license facts, data/property access, work-product terms, and signing authority.</w:t>
      </w:r>
    </w:p>
    <w:p>
      <w:r>
        <w:t>Use the approved Independent Contractor Services Agreement and a completed statement of work.</w:t>
      </w:r>
    </w:p>
    <w:p>
      <w:r>
        <w:t>File deliverables, approvals, invoices, payments, and closeout records with the vendor agreement.</w:t>
      </w:r>
    </w:p>
    <w:p>
      <w:pPr>
        <w:pStyle w:val="Heading1"/>
      </w:pPr>
      <w:r>
        <w:t>6 People devices and access</w:t>
      </w:r>
    </w:p>
    <w:p>
      <w:r>
        <w:t>Complete the employment or contractor record before assigning paid work.</w:t>
      </w:r>
    </w:p>
    <w:p>
      <w:r>
        <w:t>Issue devices, accounts, keys, records, and facilities through the approved custody and access forms.</w:t>
      </w:r>
    </w:p>
    <w:p>
      <w:r>
        <w:t>Remove access and recover Company property on the person's last authorized day.</w:t>
      </w:r>
    </w:p>
    <w:p>
      <w:pPr>
        <w:pStyle w:val="Heading1"/>
      </w:pPr>
      <w:r>
        <w:t>7 Bookkeeping and record filing</w:t>
      </w:r>
    </w:p>
    <w:p>
      <w:r>
        <w:t>Use the legal Company name and the correct Company bank, card, provider, and accounting file.</w:t>
      </w:r>
    </w:p>
    <w:p>
      <w:r>
        <w:t>Enter a transaction only with a supporting source document and the correct date, payee, amount, account, class or project, and business purpose.</w:t>
      </w:r>
    </w:p>
    <w:p>
      <w:r>
        <w:t>Maintain a monthly close record covering bank and card reconciliations, receivables, payables, payroll, subscriptions, fixed assets, owner activity, and exceptions.</w:t>
      </w:r>
    </w:p>
    <w:p>
      <w:pPr>
        <w:pStyle w:val="Heading1"/>
      </w:pPr>
      <w:r>
        <w:t>8 Record retention</w:t>
      </w:r>
    </w:p>
    <w:tbl>
      <w:tblPr>
        <w:tblStyle w:val="TableGrid"/>
        <w:tblW w:type="auto" w:w="0"/>
        <w:tblLook w:firstColumn="1" w:firstRow="1" w:lastColumn="0" w:lastRow="0" w:noHBand="0" w:noVBand="1" w:val="04A0"/>
      </w:tblPr>
      <w:tblGrid>
        <w:gridCol w:w="4680"/>
        <w:gridCol w:w="4680"/>
      </w:tblGrid>
      <w:tr>
        <w:trPr>
          <w:tblHeader/>
        </w:trPr>
        <w:tc>
          <w:tcPr>
            <w:tcW w:type="dxa" w:w="4680"/>
            <w:shd w:fill="E8EEF3"/>
            <w:tcBorders>
              <w:top w:val="single" w:sz="4" w:color="D9D9D9"/>
              <w:left w:val="single" w:sz="4" w:color="D9D9D9"/>
              <w:bottom w:val="single" w:sz="4" w:color="D9D9D9"/>
              <w:right w:val="single" w:sz="4" w:color="D9D9D9"/>
            </w:tcBorders>
          </w:tcPr>
          <w:p>
            <w:r>
              <w:rPr>
                <w:b/>
              </w:rPr>
              <w:t>Record class</w:t>
            </w:r>
          </w:p>
        </w:tc>
        <w:tc>
          <w:tcPr>
            <w:tcW w:type="dxa" w:w="4680"/>
            <w:shd w:fill="E8EEF3"/>
            <w:tcBorders>
              <w:top w:val="single" w:sz="4" w:color="D9D9D9"/>
              <w:left w:val="single" w:sz="4" w:color="D9D9D9"/>
              <w:bottom w:val="single" w:sz="4" w:color="D9D9D9"/>
              <w:right w:val="single" w:sz="4" w:color="D9D9D9"/>
            </w:tcBorders>
          </w:tcPr>
          <w:p>
            <w:r>
              <w:rPr>
                <w:b/>
              </w:rPr>
              <w:t>Proposed retention period</w:t>
            </w:r>
          </w:p>
        </w:tc>
      </w:tr>
      <w:tr>
        <w:tc>
          <w:tcPr>
            <w:tcW w:type="dxa" w:w="4680"/>
            <w:tcBorders>
              <w:top w:val="single" w:sz="4" w:color="D9D9D9"/>
              <w:left w:val="single" w:sz="4" w:color="D9D9D9"/>
              <w:bottom w:val="single" w:sz="4" w:color="D9D9D9"/>
              <w:right w:val="single" w:sz="4" w:color="D9D9D9"/>
            </w:tcBorders>
          </w:tcPr>
          <w:p>
            <w:r>
              <w:t>Formation, governance, ownership, capital, tax elections</w:t>
            </w:r>
          </w:p>
        </w:tc>
        <w:tc>
          <w:tcPr>
            <w:tcW w:type="dxa" w:w="4680"/>
            <w:tcBorders>
              <w:top w:val="single" w:sz="4" w:color="D9D9D9"/>
              <w:left w:val="single" w:sz="4" w:color="D9D9D9"/>
              <w:bottom w:val="single" w:sz="4" w:color="D9D9D9"/>
              <w:right w:val="single" w:sz="4" w:color="D9D9D9"/>
            </w:tcBorders>
          </w:tcPr>
          <w:p>
            <w:r>
              <w:t>Permanent</w:t>
            </w:r>
          </w:p>
        </w:tc>
      </w:tr>
      <w:tr>
        <w:tc>
          <w:tcPr>
            <w:tcW w:type="dxa" w:w="4680"/>
            <w:tcBorders>
              <w:top w:val="single" w:sz="4" w:color="D9D9D9"/>
              <w:left w:val="single" w:sz="4" w:color="D9D9D9"/>
              <w:bottom w:val="single" w:sz="4" w:color="D9D9D9"/>
              <w:right w:val="single" w:sz="4" w:color="D9D9D9"/>
            </w:tcBorders>
          </w:tcPr>
          <w:p>
            <w:r>
              <w:t>Tax returns, ledgers, bank/card statements, invoices, receipts</w:t>
            </w:r>
          </w:p>
        </w:tc>
        <w:tc>
          <w:tcPr>
            <w:tcW w:type="dxa" w:w="4680"/>
            <w:tcBorders>
              <w:top w:val="single" w:sz="4" w:color="D9D9D9"/>
              <w:left w:val="single" w:sz="4" w:color="D9D9D9"/>
              <w:bottom w:val="single" w:sz="4" w:color="D9D9D9"/>
              <w:right w:val="single" w:sz="4" w:color="D9D9D9"/>
            </w:tcBorders>
          </w:tcPr>
          <w:p>
            <w:r>
              <w:t>7 years</w:t>
            </w:r>
          </w:p>
        </w:tc>
      </w:tr>
      <w:tr>
        <w:tc>
          <w:tcPr>
            <w:tcW w:type="dxa" w:w="4680"/>
            <w:tcBorders>
              <w:top w:val="single" w:sz="4" w:color="D9D9D9"/>
              <w:left w:val="single" w:sz="4" w:color="D9D9D9"/>
              <w:bottom w:val="single" w:sz="4" w:color="D9D9D9"/>
              <w:right w:val="single" w:sz="4" w:color="D9D9D9"/>
            </w:tcBorders>
          </w:tcPr>
          <w:p>
            <w:r>
              <w:t>Contracts and vendor/customer files</w:t>
            </w:r>
          </w:p>
        </w:tc>
        <w:tc>
          <w:tcPr>
            <w:tcW w:type="dxa" w:w="4680"/>
            <w:tcBorders>
              <w:top w:val="single" w:sz="4" w:color="D9D9D9"/>
              <w:left w:val="single" w:sz="4" w:color="D9D9D9"/>
              <w:bottom w:val="single" w:sz="4" w:color="D9D9D9"/>
              <w:right w:val="single" w:sz="4" w:color="D9D9D9"/>
            </w:tcBorders>
          </w:tcPr>
          <w:p>
            <w:r>
              <w:t>Agreement term plus 7 years</w:t>
            </w:r>
          </w:p>
        </w:tc>
      </w:tr>
      <w:tr>
        <w:tc>
          <w:tcPr>
            <w:tcW w:type="dxa" w:w="4680"/>
            <w:tcBorders>
              <w:top w:val="single" w:sz="4" w:color="D9D9D9"/>
              <w:left w:val="single" w:sz="4" w:color="D9D9D9"/>
              <w:bottom w:val="single" w:sz="4" w:color="D9D9D9"/>
              <w:right w:val="single" w:sz="4" w:color="D9D9D9"/>
            </w:tcBorders>
          </w:tcPr>
          <w:p>
            <w:r>
              <w:t>Payroll, personnel, and benefits records</w:t>
            </w:r>
          </w:p>
        </w:tc>
        <w:tc>
          <w:tcPr>
            <w:tcW w:type="dxa" w:w="4680"/>
            <w:tcBorders>
              <w:top w:val="single" w:sz="4" w:color="D9D9D9"/>
              <w:left w:val="single" w:sz="4" w:color="D9D9D9"/>
              <w:bottom w:val="single" w:sz="4" w:color="D9D9D9"/>
              <w:right w:val="single" w:sz="4" w:color="D9D9D9"/>
            </w:tcBorders>
          </w:tcPr>
          <w:p>
            <w:r>
              <w:t>4 years or longer period required for the record</w:t>
            </w:r>
          </w:p>
        </w:tc>
      </w:tr>
      <w:tr>
        <w:tc>
          <w:tcPr>
            <w:tcW w:type="dxa" w:w="4680"/>
            <w:tcBorders>
              <w:top w:val="single" w:sz="4" w:color="D9D9D9"/>
              <w:left w:val="single" w:sz="4" w:color="D9D9D9"/>
              <w:bottom w:val="single" w:sz="4" w:color="D9D9D9"/>
              <w:right w:val="single" w:sz="4" w:color="D9D9D9"/>
            </w:tcBorders>
          </w:tcPr>
          <w:p>
            <w:r>
              <w:t>IIPP inspections/training and WVPP records</w:t>
            </w:r>
          </w:p>
        </w:tc>
        <w:tc>
          <w:tcPr>
            <w:tcW w:type="dxa" w:w="4680"/>
            <w:tcBorders>
              <w:top w:val="single" w:sz="4" w:color="D9D9D9"/>
              <w:left w:val="single" w:sz="4" w:color="D9D9D9"/>
              <w:bottom w:val="single" w:sz="4" w:color="D9D9D9"/>
              <w:right w:val="single" w:sz="4" w:color="D9D9D9"/>
            </w:tcBorders>
          </w:tcPr>
          <w:p>
            <w:r>
              <w:t>Periods stated in the applicable safety plan</w:t>
            </w:r>
          </w:p>
        </w:tc>
      </w:tr>
      <w:tr>
        <w:tc>
          <w:tcPr>
            <w:tcW w:type="dxa" w:w="4680"/>
            <w:tcBorders>
              <w:top w:val="single" w:sz="4" w:color="D9D9D9"/>
              <w:left w:val="single" w:sz="4" w:color="D9D9D9"/>
              <w:bottom w:val="single" w:sz="4" w:color="D9D9D9"/>
              <w:right w:val="single" w:sz="4" w:color="D9D9D9"/>
            </w:tcBorders>
          </w:tcPr>
          <w:p>
            <w:r>
              <w:t>Access, custody, and return records</w:t>
            </w:r>
          </w:p>
        </w:tc>
        <w:tc>
          <w:tcPr>
            <w:tcW w:type="dxa" w:w="4680"/>
            <w:tcBorders>
              <w:top w:val="single" w:sz="4" w:color="D9D9D9"/>
              <w:left w:val="single" w:sz="4" w:color="D9D9D9"/>
              <w:bottom w:val="single" w:sz="4" w:color="D9D9D9"/>
              <w:right w:val="single" w:sz="4" w:color="D9D9D9"/>
            </w:tcBorders>
          </w:tcPr>
          <w:p>
            <w:r>
              <w:t>Relationship term plus 4 years</w:t>
            </w:r>
          </w:p>
        </w:tc>
      </w:tr>
    </w:tbl>
    <w:p/>
    <w:p>
      <w:pPr>
        <w:pStyle w:val="Heading1"/>
      </w:pPr>
      <w:r>
        <w:t>9 Review</w:t>
      </w:r>
    </w:p>
    <w:p>
      <w:r>
        <w:t>The Manager reviews this manual each year and after a material change to the Company's work, people, systems, locations, or legal requirements. The adoption record identifies the current version and effective date.</w:t>
      </w:r>
    </w:p>
    <w:sectPr w:rsidR="00FC693F" w:rsidRPr="0006063C" w:rsidSect="00034616">
      <w:headerReference w:type="default" r:id="rId9"/>
      <w:footerReference w:type="default" r:id="rId10"/>
      <w:pgSz w:w="12240" w:h="15840"/>
      <w:pgMar w:top="1152" w:right="1440" w:bottom="1080" w:left="1440" w:header="504"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Adaptation draft | Not adopted</w:t>
      <w:rPr>
        <w:sz w:val="17"/>
      </w:rPr>
    </w:r>
    <w:r>
      <w:tab/>
      <w:rPr>
        <w:sz w:val="17"/>
      </w:rPr>
    </w:r>
    <w:r>
      <w:t xml:space="preserve">Page </w:t>
      <w:rPr>
        <w:sz w:val="17"/>
      </w:rPr>
    </w:r>
    <w:fldSimple w:instr="PAGE">
      <w:r>
        <w:t>1</w:t>
        <w:rPr>
          <w:sz w:val="17"/>
        </w:rPr>
      </w:r>
    </w:fldSimple>
    <w:r>
      <w:t xml:space="preserve"> of </w:t>
      <w:rPr>
        <w:sz w:val="17"/>
      </w:rPr>
    </w:r>
    <w:fldSimple w:instr="NUMPAGES">
      <w:r>
        <w:t>1</w:t>
        <w:rPr>
          <w:sz w:val="17"/>
        </w:rPr>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5B6773"/>
        <w:sz w:val="17"/>
      </w:rPr>
      <w:t>EDM Overhaulers  |  OPERATIONS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suff w:val="tab"/>
      <w:lvlJc w:val="left"/>
      <w:pPr>
        <w:tabs>
          <w:tab w:val="num" w:pos="540"/>
        </w:tabs>
        <w:ind w:left="540" w:hanging="270"/>
      </w:pPr>
    </w:lvl>
  </w:abstractNum>
  <w:num w:numId="10">
    <w:abstractNumId w:val="9"/>
  </w:num>
  <w:abstractNum w:abstractNumId="10">
    <w:multiLevelType w:val="singleLevel"/>
    <w:lvl w:ilvl="0">
      <w:start w:val="1"/>
      <w:numFmt w:val="decimal"/>
      <w:lvlText w:val="%1."/>
      <w:suff w:val="tab"/>
      <w:lvlJc w:val="left"/>
      <w:pPr>
        <w:tabs>
          <w:tab w:val="num" w:pos="540"/>
        </w:tabs>
        <w:ind w:left="540" w:hanging="270"/>
      </w:pPr>
    </w:lvl>
  </w:abstractNum>
  <w:num w:numId="11">
    <w:abstractNumId w:val="10"/>
  </w:num>
  <w:abstractNum w:abstractNumId="11">
    <w:multiLevelType w:val="singleLevel"/>
    <w:lvl w:ilvl="0">
      <w:start w:val="1"/>
      <w:numFmt w:val="decimal"/>
      <w:lvlText w:val="%1."/>
      <w:suff w:val="tab"/>
      <w:lvlJc w:val="left"/>
      <w:pPr>
        <w:tabs>
          <w:tab w:val="num" w:pos="540"/>
        </w:tabs>
        <w:ind w:left="540" w:hanging="270"/>
      </w:pPr>
    </w:lvl>
  </w:abstractNum>
  <w:num w:numId="12">
    <w:abstractNumId w:val="11"/>
  </w:num>
  <w:abstractNum w:abstractNumId="12">
    <w:multiLevelType w:val="singleLevel"/>
    <w:lvl w:ilvl="0">
      <w:start w:val="1"/>
      <w:numFmt w:val="decimal"/>
      <w:lvlText w:val="%1."/>
      <w:suff w:val="tab"/>
      <w:lvlJc w:val="left"/>
      <w:pPr>
        <w:tabs>
          <w:tab w:val="num" w:pos="540"/>
        </w:tabs>
        <w:ind w:left="540" w:hanging="270"/>
      </w:pPr>
    </w:lvl>
  </w:abstractNum>
  <w:num w:numId="13">
    <w:abstractNumId w:val="12"/>
  </w:num>
  <w:abstractNum w:abstractNumId="13">
    <w:multiLevelType w:val="singleLevel"/>
    <w:lvl w:ilvl="0">
      <w:start w:val="1"/>
      <w:numFmt w:val="decimal"/>
      <w:lvlText w:val="%1."/>
      <w:suff w:val="tab"/>
      <w:lvlJc w:val="left"/>
      <w:pPr>
        <w:tabs>
          <w:tab w:val="num" w:pos="540"/>
        </w:tabs>
        <w:ind w:left="540" w:hanging="270"/>
      </w:pPr>
    </w:lvl>
  </w:abstractNum>
  <w:num w:numId="14">
    <w:abstractNumId w:val="13"/>
  </w:num>
  <w:abstractNum w:abstractNumId="14">
    <w:multiLevelType w:val="singleLevel"/>
    <w:lvl w:ilvl="0">
      <w:start w:val="1"/>
      <w:numFmt w:val="decimal"/>
      <w:lvlText w:val="%1."/>
      <w:suff w:val="tab"/>
      <w:lvlJc w:val="left"/>
      <w:pPr>
        <w:tabs>
          <w:tab w:val="num" w:pos="540"/>
        </w:tabs>
        <w:ind w:left="540" w:hanging="270"/>
      </w:pPr>
    </w:lvl>
  </w:abstractNum>
  <w:num w:numId="15">
    <w:abstractNumId w:val="14"/>
  </w:num>
  <w:abstractNum w:abstractNumId="15">
    <w:multiLevelType w:val="singleLevel"/>
    <w:lvl w:ilvl="0">
      <w:start w:val="1"/>
      <w:numFmt w:val="decimal"/>
      <w:lvlText w:val="%1."/>
      <w:suff w:val="tab"/>
      <w:lvlJc w:val="left"/>
      <w:pPr>
        <w:tabs>
          <w:tab w:val="num" w:pos="540"/>
        </w:tabs>
        <w:ind w:left="540" w:hanging="270"/>
      </w:pPr>
    </w:lvl>
  </w:abstract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6" w:lineRule="auto"/>
    </w:pPr>
    <w:rPr>
      <w:rFonts w:ascii="Aptos" w:hAnsi="Aptos"/>
      <w:color w:val="1721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00"/>
      <w:outlineLvl w:val="0"/>
    </w:pPr>
    <w:rPr>
      <w:rFonts w:asciiTheme="majorHAnsi" w:eastAsiaTheme="majorEastAsia" w:hAnsiTheme="majorHAnsi" w:cstheme="majorBidi" w:ascii="Aptos Display" w:hAnsi="Aptos Display"/>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ptos Display" w:hAnsi="Aptos Display"/>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ptos Display" w:hAnsi="Aptos Display"/>
      <w:b/>
      <w:bCs/>
      <w:color w:val="1F4D7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76" w:lineRule="auto"/>
      <w:contextualSpacing/>
    </w:pPr>
    <w:rPr>
      <w:rFonts w:ascii="Aptos" w:hAnsi="Aptos"/>
      <w:sz w:val="20"/>
    </w:rPr>
  </w:style>
  <w:style w:type="paragraph" w:styleId="ListBullet2">
    <w:name w:val="List Bullet 2"/>
    <w:basedOn w:val="Normal"/>
    <w:uiPriority w:val="99"/>
    <w:unhideWhenUsed/>
    <w:rsid w:val="00326F90"/>
    <w:pPr>
      <w:numPr>
        <w:numId w:val="2"/>
      </w:numPr>
      <w:spacing w:after="80" w:line="276" w:lineRule="auto"/>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76" w:lineRule="auto"/>
      <w:contextualSpacing/>
    </w:pPr>
    <w:rPr>
      <w:rFonts w:ascii="Aptos" w:hAnsi="Aptos"/>
      <w:sz w:val="20"/>
    </w:rPr>
  </w:style>
  <w:style w:type="paragraph" w:styleId="ListNumber2">
    <w:name w:val="List Number 2"/>
    <w:basedOn w:val="Normal"/>
    <w:uiPriority w:val="99"/>
    <w:unhideWhenUsed/>
    <w:rsid w:val="0029639D"/>
    <w:pPr>
      <w:numPr>
        <w:numId w:val="6"/>
      </w:numPr>
      <w:spacing w:after="80" w:line="276" w:lineRule="auto"/>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ecklist">
    <w:name w:val="Checklist"/>
    <w:basedOn w:val="Normal"/>
    <w:pPr>
      <w:spacing w:after="80"/>
      <w:ind w:left="173" w:hanging="29"/>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Coulter Strategy Group LLC — Operations Manual — Local Review Candidate</dc:title>
  <dc:subject>Reusable internal operations procedures</dc:subject>
  <dc:creator>EDM Overhaulers</dc:creator>
  <cp:keywords>CSG, operations manual, internal controls, records, approval, entity separation</cp:keywords>
  <dc:description>Local review candidate; not issued policy.</dc:description>
  <cp:lastModifiedBy/>
  <cp:revision>1</cp:revision>
  <dcterms:created xsi:type="dcterms:W3CDTF">2013-12-23T23:15:00Z</dcterms:created>
  <dcterms:modified xsi:type="dcterms:W3CDTF">2013-12-23T23:15:00Z</dcterms:modified>
  <cp:category/>
</cp:coreProperties>
</file>