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drawing>
          <wp:inline xmlns:a="http://schemas.openxmlformats.org/drawingml/2006/main" xmlns:pic="http://schemas.openxmlformats.org/drawingml/2006/picture">
            <wp:extent cx="1645920" cy="308532"/>
            <wp:docPr id="1" name="Picture 1"/>
            <wp:cNvGraphicFramePr>
              <a:graphicFrameLocks noChangeAspect="1"/>
            </wp:cNvGraphicFramePr>
            <a:graphic>
              <a:graphicData uri="http://schemas.openxmlformats.org/drawingml/2006/picture">
                <pic:pic>
                  <pic:nvPicPr>
                    <pic:cNvPr id="0" name="Systematic Business Operations logo.png"/>
                    <pic:cNvPicPr/>
                  </pic:nvPicPr>
                  <pic:blipFill>
                    <a:blip r:embed="rId10"/>
                    <a:srcRect l="2000" r="2000" t="29000" b="26000"/>
                    <a:stretch>
                      <a:fillRect/>
                    </a:stretch>
                  </pic:blipFill>
                  <pic:spPr>
                    <a:xfrm>
                      <a:off x="0" y="0"/>
                      <a:ext cx="1645920" cy="308532"/>
                    </a:xfrm>
                    <a:prstGeom prst="rect"/>
                  </pic:spPr>
                </pic:pic>
              </a:graphicData>
            </a:graphic>
          </wp:inline>
        </w:drawing>
      </w:r>
    </w:p>
    <w:p>
      <w:pPr>
        <w:pStyle w:val="Title"/>
        <w:spacing w:after="200"/>
      </w:pPr>
      <w:r>
        <w:t>Client Services Agreement</w:t>
      </w:r>
    </w:p>
    <w:p>
      <w:pPr>
        <w:pStyle w:val="Subtitle"/>
      </w:pPr>
      <w:r>
        <w:t>Systematic Business Operations</w:t>
      </w:r>
    </w:p>
    <w:p>
      <w:r>
        <w:t>Editable adaptation draft • September 15, 2026 • Not adopted or executed</w:t>
      </w:r>
    </w:p>
    <w:p>
      <w:r>
        <w:t>Systematic Business Operations helps clients organize records, onboard bookkeeping work and follow through on an agreed service scope. Keep each client’s records and account permissions separate, with documented exceptions and a clear period closeout.</w:t>
      </w:r>
    </w:p>
    <w:p>
      <w:r>
        <w:t>In this draft, “Company” means Systematic Business Operations. Complete the Owner Setup and Tailoring Checklist before adoption or signing. California source provisions require an applicability check for the actual work locations. This draft does not establish employment, insurance or legal status.</w:t>
      </w:r>
    </w:p>
    <w:p>
      <w:pPr>
        <w:pStyle w:val="Heading1"/>
      </w:pPr>
      <w:r>
        <w:t>1 Parties</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Company</w:t>
            </w:r>
          </w:p>
        </w:tc>
        <w:tc>
          <w:tcPr>
            <w:tcW w:type="dxa" w:w="5112"/>
            <w:shd w:fill="E8EEF3"/>
            <w:tcBorders>
              <w:top w:val="single" w:sz="4" w:color="D9D9D9"/>
              <w:left w:val="single" w:sz="4" w:color="D9D9D9"/>
              <w:bottom w:val="single" w:sz="4" w:color="D9D9D9"/>
              <w:right w:val="single" w:sz="4" w:color="D9D9D9"/>
            </w:tcBorders>
          </w:tcPr>
          <w:p>
            <w:r>
              <w:rPr>
                <w:b/>
              </w:rPr>
              <w:t>Client</w:t>
            </w:r>
          </w:p>
        </w:tc>
      </w:tr>
      <w:tr>
        <w:tc>
          <w:tcPr>
            <w:tcW w:type="dxa" w:w="5112"/>
            <w:tcBorders>
              <w:top w:val="single" w:sz="4" w:color="D9D9D9"/>
              <w:left w:val="single" w:sz="4" w:color="D9D9D9"/>
              <w:bottom w:val="single" w:sz="4" w:color="D9D9D9"/>
              <w:right w:val="single" w:sz="4" w:color="D9D9D9"/>
            </w:tcBorders>
          </w:tcPr>
          <w:p>
            <w:r>
              <w:t>Systematic Business Operations</w:t>
              <w:br/>
              <w:t>[Business address]</w:t>
            </w:r>
          </w:p>
        </w:tc>
        <w:tc>
          <w:tcPr>
            <w:tcW w:type="dxa" w:w="5112"/>
            <w:tcBorders>
              <w:top w:val="single" w:sz="4" w:color="D9D9D9"/>
              <w:left w:val="single" w:sz="4" w:color="D9D9D9"/>
              <w:bottom w:val="single" w:sz="4" w:color="D9D9D9"/>
              <w:right w:val="single" w:sz="4" w:color="D9D9D9"/>
            </w:tcBorders>
          </w:tcPr>
          <w:p>
            <w:r>
              <w:t>Legal name:</w:t>
              <w:br/>
              <w:t>Entity type/state:</w:t>
              <w:br/>
              <w:t>Address:</w:t>
              <w:br/>
              <w:t>Authorized signer:</w:t>
            </w:r>
          </w:p>
        </w:tc>
      </w:tr>
    </w:tbl>
    <w:p/>
    <w:p>
      <w:pPr>
        <w:pStyle w:val="Heading1"/>
      </w:pPr>
      <w:r>
        <w:t>2 Services and commercial terms</w:t>
      </w:r>
    </w:p>
    <w:tbl>
      <w:tblPr>
        <w:tblStyle w:val="TableGrid"/>
        <w:tblW w:type="auto" w:w="0"/>
        <w:tblLook w:firstColumn="1" w:firstRow="1" w:lastColumn="0" w:lastRow="0" w:noHBand="0" w:noVBand="1" w:val="04A0"/>
      </w:tblPr>
      <w:tblGrid>
        <w:gridCol w:w="5112"/>
        <w:gridCol w:w="5112"/>
      </w:tblGrid>
      <w:tr>
        <w:trPr>
          <w:tblHeader/>
        </w:trPr>
        <w:tc>
          <w:tcPr>
            <w:tcW w:type="dxa" w:w="5112"/>
            <w:shd w:fill="E8EEF3"/>
            <w:tcBorders>
              <w:top w:val="single" w:sz="4" w:color="D9D9D9"/>
              <w:left w:val="single" w:sz="4" w:color="D9D9D9"/>
              <w:bottom w:val="single" w:sz="4" w:color="D9D9D9"/>
              <w:right w:val="single" w:sz="4" w:color="D9D9D9"/>
            </w:tcBorders>
          </w:tcPr>
          <w:p>
            <w:r>
              <w:rPr>
                <w:b/>
              </w:rPr>
              <w:t>Term</w:t>
            </w:r>
          </w:p>
        </w:tc>
        <w:tc>
          <w:tcPr>
            <w:tcW w:type="dxa" w:w="5112"/>
            <w:shd w:fill="E8EEF3"/>
            <w:tcBorders>
              <w:top w:val="single" w:sz="4" w:color="D9D9D9"/>
              <w:left w:val="single" w:sz="4" w:color="D9D9D9"/>
              <w:bottom w:val="single" w:sz="4" w:color="D9D9D9"/>
              <w:right w:val="single" w:sz="4" w:color="D9D9D9"/>
            </w:tcBorders>
          </w:tcPr>
          <w:p>
            <w:r>
              <w:rPr>
                <w:b/>
              </w:rPr>
              <w:t>Agreed entry</w:t>
            </w:r>
          </w:p>
        </w:tc>
      </w:tr>
      <w:tr>
        <w:tc>
          <w:tcPr>
            <w:tcW w:type="dxa" w:w="5112"/>
            <w:tcBorders>
              <w:top w:val="single" w:sz="4" w:color="D9D9D9"/>
              <w:left w:val="single" w:sz="4" w:color="D9D9D9"/>
              <w:bottom w:val="single" w:sz="4" w:color="D9D9D9"/>
              <w:right w:val="single" w:sz="4" w:color="D9D9D9"/>
            </w:tcBorders>
          </w:tcPr>
          <w:p>
            <w:r>
              <w:t>Services and deliverables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Start date and schedule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Fees, deposit, and invoice schedule</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Approved expenses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Client inputs and access</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Acceptance standard and review period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Data or systems involved</w:t>
            </w:r>
          </w:p>
        </w:tc>
        <w:tc>
          <w:tcPr>
            <w:tcW w:type="dxa" w:w="5112"/>
            <w:tcBorders>
              <w:top w:val="single" w:sz="4" w:color="D9D9D9"/>
              <w:left w:val="single" w:sz="4" w:color="D9D9D9"/>
              <w:bottom w:val="single" w:sz="4" w:color="D9D9D9"/>
              <w:right w:val="single" w:sz="4" w:color="D9D9D9"/>
            </w:tcBorders>
          </w:tcPr>
          <w:p>
            <w:r/>
          </w:p>
        </w:tc>
      </w:tr>
      <w:tr>
        <w:tc>
          <w:tcPr>
            <w:tcW w:type="dxa" w:w="5112"/>
            <w:tcBorders>
              <w:top w:val="single" w:sz="4" w:color="D9D9D9"/>
              <w:left w:val="single" w:sz="4" w:color="D9D9D9"/>
              <w:bottom w:val="single" w:sz="4" w:color="D9D9D9"/>
              <w:right w:val="single" w:sz="4" w:color="D9D9D9"/>
            </w:tcBorders>
          </w:tcPr>
          <w:p>
            <w:r>
              <w:t>End date or completion event</w:t>
            </w:r>
          </w:p>
        </w:tc>
        <w:tc>
          <w:tcPr>
            <w:tcW w:type="dxa" w:w="5112"/>
            <w:tcBorders>
              <w:top w:val="single" w:sz="4" w:color="D9D9D9"/>
              <w:left w:val="single" w:sz="4" w:color="D9D9D9"/>
              <w:bottom w:val="single" w:sz="4" w:color="D9D9D9"/>
              <w:right w:val="single" w:sz="4" w:color="D9D9D9"/>
            </w:tcBorders>
          </w:tcPr>
          <w:p>
            <w:r/>
          </w:p>
        </w:tc>
      </w:tr>
    </w:tbl>
    <w:p/>
    <w:p>
      <w:pPr>
        <w:pStyle w:val="Heading1"/>
      </w:pPr>
      <w:r>
        <w:t>3 Work and changes</w:t>
      </w:r>
    </w:p>
    <w:p>
      <w:r>
        <w:t>Systematic Business Operations will perform the stated services and provide the listed deliverables. The Client will provide the decisions, access, materials, and feedback listed above on the agreed schedule.</w:t>
      </w:r>
    </w:p>
    <w:p>
      <w:r>
        <w:t>A change to scope, schedule, fees, deliverables, data access, or acceptance must be recorded in a change order signed by both parties before the changed work begins.</w:t>
      </w:r>
    </w:p>
    <w:p>
      <w:pPr>
        <w:pStyle w:val="Heading1"/>
      </w:pPr>
      <w:r>
        <w:t>4 Fees and payment</w:t>
      </w:r>
    </w:p>
    <w:p>
      <w:r>
        <w:t>Systematic Business Operations invoices according to the schedule above. The Client pays approved invoices by the stated due date and reimburses only expenses approved in writing. A disputed invoice must be identified promptly with the specific amount and reason so the parties can resolve it.</w:t>
      </w:r>
    </w:p>
    <w:p>
      <w:pPr>
        <w:pStyle w:val="Heading1"/>
      </w:pPr>
      <w:r>
        <w:t>5 Confidential information and data</w:t>
      </w:r>
    </w:p>
    <w:p>
      <w:r>
        <w:t>Each party will protect the other party's nonpublic business information, use it only for this engagement, and share it only with people who need it for the work. Each party will return or delete the other party's information at closeout when requested, subject to required records retention.</w:t>
      </w:r>
    </w:p>
    <w:p>
      <w:r>
        <w:t>The statement of work identifies any personal, regulated, credential, financial, personnel, or customer data before access begins and states the required security and return procedures.</w:t>
      </w:r>
    </w:p>
    <w:p>
      <w:pPr>
        <w:pStyle w:val="Heading1"/>
      </w:pPr>
      <w:r>
        <w:t>6 Materials and work product</w:t>
      </w:r>
    </w:p>
    <w:p>
      <w:r>
        <w:t>Each party keeps ownership of material it owned before the engagement. The Client grants Systematic Business Operations permission to use Client material for the work. After full payment, the Client owns the final deliverables created specifically for the Client. Systematic Business Operations keeps its pre-existing methods, templates, tools, and general know-how and grants the Client a continuing license to use any of them embedded in the paid deliverables.</w:t>
      </w:r>
    </w:p>
    <w:p>
      <w:pPr>
        <w:pStyle w:val="Heading1"/>
      </w:pPr>
      <w:r>
        <w:t>7 Termination and closeout</w:t>
      </w:r>
    </w:p>
    <w:p>
      <w:r>
        <w:t>Either party may end the engagement on ten days' written notice. Either party may end it immediately for a material breach that is not promptly corrected. The Client pays for accepted work and approved expenses through the end date. Systematic Business Operations returns Client property and provides completed work and records included in the paid scope.</w:t>
      </w:r>
    </w:p>
    <w:p>
      <w:pPr>
        <w:pStyle w:val="Heading1"/>
      </w:pPr>
      <w:r>
        <w:t>8 Responsibility and complete agreement</w:t>
      </w:r>
    </w:p>
    <w:p>
      <w:r>
        <w:t>Each party is responsible for its own people, systems, decisions, and legal obligations. [Counsel to tailor any liability limits, exclusions and required exceptions to the services and jurisdiction.]</w:t>
      </w:r>
    </w:p>
    <w:p>
      <w:r>
        <w:t>This agreement, its signed statement of work, and signed change orders are the complete agreement for the services. [Insert reviewed governing law and venue.] Electronic signatures and counterparts may be used.</w:t>
      </w:r>
    </w:p>
    <w:p>
      <w:pPr>
        <w:pStyle w:val="Heading1"/>
      </w:pPr>
      <w:r>
        <w:t>Signatures</w:t>
      </w:r>
    </w:p>
    <w:p>
      <w:pPr>
        <w:keepNext/>
      </w:pPr>
      <w:r>
        <w:t>Signature: ____________________________________    Date: __________________</w:t>
      </w:r>
    </w:p>
    <w:p>
      <w:r>
        <w:t>[Authorized manager]</w:t>
        <w:br/>
        <w:t>Manager, Systematic Business Operations</w:t>
      </w:r>
    </w:p>
    <w:p>
      <w:pPr>
        <w:keepNext/>
      </w:pPr>
      <w:r>
        <w:t>Signature: ____________________________________    Date: __________________</w:t>
      </w:r>
    </w:p>
    <w:p>
      <w:r>
        <w:t>Client authorized signer</w:t>
        <w:br/>
        <w:t>Name and title</w:t>
      </w:r>
    </w:p>
    <w:p>
      <w:pPr>
        <w:keepLines/>
      </w:pPr>
      <w:r>
        <w:rPr>
          <w:sz w:val="16"/>
        </w:rPr>
        <w:t>Source: CSG_Client_Services_Agreement.docx. Adapted from retained CSG work; original unchanged. See the owner checklist. This is not legal advice.</w:t>
      </w:r>
    </w:p>
    <w:sectPr w:rsidR="00FC693F" w:rsidRPr="0006063C" w:rsidSect="00034616">
      <w:footerReference w:type="default" r:id="rId9"/>
      <w:headerReference w:type="default" r:id="rId11"/>
      <w:pgSz w:w="12240" w:h="15840"/>
      <w:pgMar w:top="936" w:right="1008" w:bottom="864" w:left="1008"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tabs>
        <w:tab w:val="right" w:pos="10224"/>
      </w:tabs>
    </w:pPr>
    <w:r>
      <w:t>Adaptation draft | Not adopted</w:t>
      <w:tab/>
      <w:t xml:space="preserve">Page </w:t>
    </w:r>
    <w:fldSimple w:instr="PAGE">
      <w:r>
        <w:t>1</w:t>
      </w:r>
    </w:fldSimple>
    <w: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Systematic Business Operations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color w:val="202A3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Calibri" w:hAnsi="Calibri"/>
      <w:b/>
      <w:bCs/>
      <w:color w:val="2E74B5"/>
      <w:sz w:val="2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Calibri" w:hAnsi="Calibri"/>
      <w:b/>
      <w:color w:val="142B4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Theme="majorHAnsi" w:eastAsiaTheme="majorEastAsia" w:hAnsiTheme="majorHAnsi" w:cstheme="majorBidi" w:ascii="Calibri" w:hAnsi="Calibri"/>
      <w:b w:val="0"/>
      <w:i/>
      <w:iCs/>
      <w:color w:val="667085"/>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Services Agreement</dc:title>
  <dc:subject/>
  <dc:creator>Systematic Business Operations</dc:creator>
  <cp:keywords/>
  <dc:description/>
  <cp:lastModifiedBy/>
  <cp:revision>1</cp:revision>
  <dcterms:created xsi:type="dcterms:W3CDTF">2013-12-23T23:15:00Z</dcterms:created>
  <dcterms:modified xsi:type="dcterms:W3CDTF">2013-12-23T23:15:00Z</dcterms:modified>
  <cp:category/>
</cp:coreProperties>
</file>