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jc w:val="center"/>
      </w:pPr>
      <w:r>
        <w:drawing>
          <wp:inline xmlns:a="http://schemas.openxmlformats.org/drawingml/2006/main" xmlns:pic="http://schemas.openxmlformats.org/drawingml/2006/picture">
            <wp:extent cx="3474720" cy="651345"/>
            <wp:docPr id="1" name="Picture 1" title="Coulter Strategy Group LLC logo" descr="Coulter Strategy Group LLC black-and-blue logo"/>
            <wp:cNvGraphicFramePr>
              <a:graphicFrameLocks noChangeAspect="1"/>
            </wp:cNvGraphicFramePr>
            <a:graphic>
              <a:graphicData uri="http://schemas.openxmlformats.org/drawingml/2006/picture">
                <pic:pic>
                  <pic:nvPicPr>
                    <pic:cNvPr id="0" name="csg-logo-black-blue-approved-2026-08-20.png"/>
                    <pic:cNvPicPr/>
                  </pic:nvPicPr>
                  <pic:blipFill>
                    <a:blip r:embed="rId11"/>
                    <a:srcRect l="2000" r="2000" t="29000" b="26000"/>
                    <a:stretch>
                      <a:fillRect/>
                    </a:stretch>
                  </pic:blipFill>
                  <pic:spPr>
                    <a:xfrm>
                      <a:off x="0" y="0"/>
                      <a:ext cx="3474720" cy="651345"/>
                    </a:xfrm>
                    <a:prstGeom prst="rect"/>
                  </pic:spPr>
                </pic:pic>
              </a:graphicData>
            </a:graphic>
          </wp:inline>
        </w:drawing>
      </w:r>
    </w:p>
    <w:p>
      <w:pPr>
        <w:pStyle w:val="Title"/>
        <w:jc w:val="center"/>
      </w:pPr>
      <w:r>
        <w:t>Employee Handbook</w:t>
      </w:r>
    </w:p>
    <w:p>
      <w:pPr>
        <w:pStyle w:val="Subtitle"/>
        <w:jc w:val="center"/>
      </w:pPr>
      <w:r>
        <w:t>Clear expectations for doing good work together</w:t>
      </w:r>
    </w:p>
    <w:p>
      <w:pPr>
        <w:spacing w:before="480"/>
        <w:jc w:val="center"/>
      </w:pPr>
      <w:r>
        <w:rPr>
          <w:rFonts w:ascii="Calibri" w:hAnsi="Calibri"/>
          <w:b/>
          <w:i w:val="0"/>
          <w:color w:val="142B4A"/>
          <w:sz w:val="24"/>
        </w:rPr>
        <w:t>Systematic Business Operations</w:t>
      </w:r>
    </w:p>
    <w:p>
      <w:pPr>
        <w:jc w:val="center"/>
      </w:pPr>
      <w:r>
        <w:rPr>
          <w:rFonts w:ascii="Calibri" w:hAnsi="Calibri"/>
          <w:b w:val="0"/>
          <w:i w:val="0"/>
          <w:color w:val="667085"/>
          <w:sz w:val="20"/>
        </w:rPr>
        <w:t>Editable adaptation draft · Not adopted or executed · September 15, 2026</w:t>
      </w:r>
    </w:p>
    <w:p>
      <w:pPr>
        <w:pStyle w:val="Normal"/>
      </w:pPr>
      <w:r>
        <w:t xml:space="preserve">Complete the Owner Setup and Tailoring Checklist before issue. The business name is not verification of the legal employer. No benefits, insurance, employment or policy adoption is established by this draft.</w:t>
      </w:r>
    </w:p>
    <w:p>
      <w:pPr>
        <w:spacing w:before="0" w:after="0" w:line="20" w:lineRule="exact"/>
        <w:sectPr w:rsidR="00FC693F" w:rsidRPr="0006063C" w:rsidSect="00034616">
          <w:footerReference w:type="default" r:id="rId12"/>
          <w:type w:val="nextPage"/>
          <w:headerReference w:type="default" r:id="rId9"/>
          <w:pgSz w:w="12240" w:h="15840"/>
          <w:pgMar w:top="1440" w:right="1440" w:bottom="1440" w:left="1440" w:header="706" w:footer="605" w:gutter="0"/>
          <w:cols w:space="720"/>
          <w:docGrid w:linePitch="360"/>
        </w:sectPr>
      </w:pPr>
    </w:p>
    <w:p>
      <w:pPr>
        <w:pStyle w:val="Heading1"/>
      </w:pPr>
      <w:r>
        <w:t>Welcome to Systematic Business Operations</w:t>
      </w:r>
    </w:p>
    <w:p>
      <w:r>
        <w:t>Welcome to Systematic Business Operations. Our work helps clients organize records, onboard bookkeeping work and follow through on an agreed service scope. Work may take place at the company, remotely or at a customer location, as approved for the role.</w:t>
      </w:r>
    </w:p>
    <w:p>
      <w:r>
        <w:t>This handbook explains what employees can expect from the Company and what the Company expects from employees. It is meant to be read and used. If something is unclear, ask. A good question asked early is better than a problem hidden until the last minute.</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OUR WORKING STANDARD</w:t>
              <w:br/>
            </w:r>
            <w:r>
              <w:rPr>
                <w:rFonts w:ascii="Calibri" w:hAnsi="Calibri"/>
                <w:b w:val="0"/>
                <w:i w:val="0"/>
                <w:color w:val="202A35"/>
                <w:sz w:val="21"/>
              </w:rPr>
              <w:t>Be honest. Treat people with respect. Protect information. Keep accurate records. Raise risks early. Do not make commitments you are not authorized to make. Finish with a clear handoff.</w:t>
            </w:r>
          </w:p>
        </w:tc>
      </w:tr>
    </w:tbl>
    <w:p>
      <w:pPr>
        <w:spacing w:after="0"/>
      </w:pPr>
    </w:p>
    <w:p>
      <w:pPr>
        <w:pStyle w:val="Heading2"/>
      </w:pPr>
      <w:r>
        <w:t>What matters here</w:t>
      </w:r>
    </w:p>
    <w:p>
      <w:pPr>
        <w:pStyle w:val="ListBullet"/>
      </w:pPr>
      <w:r>
        <w:t>Clarity: say what is needed, by when, and who owns the next step.</w:t>
      </w:r>
    </w:p>
    <w:p>
      <w:pPr>
        <w:pStyle w:val="ListBullet"/>
      </w:pPr>
      <w:r>
        <w:t>Judgment: pause when facts, authority, safety, or privacy are uncertain.</w:t>
      </w:r>
    </w:p>
    <w:p>
      <w:pPr>
        <w:pStyle w:val="ListBullet"/>
      </w:pPr>
      <w:r>
        <w:t>Reliability: keep commitments, and speak up early when plans need to change.</w:t>
      </w:r>
    </w:p>
    <w:p>
      <w:pPr>
        <w:pStyle w:val="ListBullet"/>
      </w:pPr>
      <w:r>
        <w:t>Respect: be direct without being demeaning, dismissive, or threatening.</w:t>
      </w:r>
    </w:p>
    <w:p>
      <w:pPr>
        <w:pStyle w:val="ListBullet"/>
      </w:pPr>
      <w:r>
        <w:t>Care: handle company, employee, and client information as if it were your own.</w:t>
      </w:r>
    </w:p>
    <w:p>
      <w:pPr>
        <w:pStyle w:val="Heading2"/>
      </w:pPr>
      <w:r>
        <w:t>Who to ask</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Manager</w:t>
            </w:r>
          </w:p>
        </w:tc>
        <w:tc>
          <w:tcPr>
            <w:tcW w:type="dxa" w:w="6460"/>
            <w:tcBorders>
              <w:bottom w:val="single" w:sz="5" w:color="AFC1D4"/>
            </w:tcBorders>
          </w:tcPr>
          <w:p>
            <w:pPr>
              <w:spacing w:after="0" w:line="252" w:lineRule="auto"/>
            </w:pPr>
            <w:r/>
            <w:sdt>
              <w:sdtPr>
                <w:tag w:val="MANAGER_CONTACT"/>
                <w:alias w:val="MANAGER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People or payroll contact</w:t>
            </w:r>
          </w:p>
        </w:tc>
        <w:tc>
          <w:tcPr>
            <w:tcW w:type="dxa" w:w="6460"/>
            <w:tcBorders>
              <w:bottom w:val="single" w:sz="5" w:color="AFC1D4"/>
            </w:tcBorders>
          </w:tcPr>
          <w:p>
            <w:pPr>
              <w:spacing w:after="0" w:line="252" w:lineRule="auto"/>
            </w:pPr>
            <w:r/>
            <w:sdt>
              <w:sdtPr>
                <w:tag w:val="PEOPLE_CONTACT"/>
                <w:alias w:val="PEOPLE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Alternate concern-reporting contact</w:t>
            </w:r>
          </w:p>
        </w:tc>
        <w:tc>
          <w:tcPr>
            <w:tcW w:type="dxa" w:w="6460"/>
            <w:tcBorders>
              <w:bottom w:val="single" w:sz="5" w:color="AFC1D4"/>
            </w:tcBorders>
          </w:tcPr>
          <w:p>
            <w:pPr>
              <w:spacing w:after="0" w:line="252" w:lineRule="auto"/>
            </w:pPr>
            <w:r/>
            <w:sdt>
              <w:sdtPr>
                <w:tag w:val="ALTERNATE_REPORTING_CONTACT"/>
                <w:alias w:val="ALTERNATE_REPORTING_CONTACT"/>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13"/>
          <w:type w:val="nextPage"/>
          <w:headerReference w:type="default" r:id="rId9"/>
          <w:pgSz w:w="12240" w:h="15840"/>
          <w:pgMar w:top="1440" w:right="1440" w:bottom="1440" w:left="1440" w:header="706" w:footer="605" w:gutter="0"/>
          <w:cols w:space="720"/>
          <w:docGrid w:linePitch="360"/>
        </w:sectPr>
      </w:pPr>
    </w:p>
    <w:p>
      <w:pPr>
        <w:pStyle w:val="Heading1"/>
      </w:pPr>
      <w:r>
        <w:t>Contents</w:t>
      </w:r>
    </w:p>
    <w:tbl>
      <w:tblPr>
        <w:tblW w:type="dxa" w:w="9360"/>
        <w:jc w:val="left"/>
        <w:tblLayout w:type="fixed"/>
        <w:tblLook w:firstColumn="1" w:firstRow="1" w:lastColumn="0" w:lastRow="0" w:noHBand="0" w:noVBand="1" w:val="04A0"/>
      </w:tblPr>
      <w:tblGrid>
        <w:gridCol w:w="700"/>
        <w:gridCol w:w="7960"/>
        <w:gridCol w:w="700"/>
      </w:tblGrid>
      <w:tr>
        <w:tc>
          <w:tcPr>
            <w:tcW w:type="dxa" w:w="700"/>
            <w:tcBorders>
              <w:bottom w:val="single" w:sz="4" w:color="D9E2EC"/>
            </w:tcBorders>
          </w:tcPr>
          <w:p>
            <w:pPr>
              <w:spacing w:after="0" w:line="252" w:lineRule="auto"/>
            </w:pPr>
            <w:r/>
            <w:r>
              <w:rPr>
                <w:rFonts w:ascii="Calibri" w:hAnsi="Calibri"/>
                <w:b/>
                <w:i w:val="0"/>
                <w:color w:val="2E74B5"/>
                <w:sz w:val="20"/>
              </w:rPr>
              <w:t>1</w:t>
            </w:r>
          </w:p>
        </w:tc>
        <w:tc>
          <w:tcPr>
            <w:tcW w:type="dxa" w:w="7960"/>
            <w:tcBorders>
              <w:bottom w:val="single" w:sz="4" w:color="D9E2EC"/>
            </w:tcBorders>
          </w:tcPr>
          <w:p>
            <w:pPr>
              <w:spacing w:after="0" w:line="252" w:lineRule="auto"/>
            </w:pPr>
            <w:r/>
            <w:r>
              <w:rPr>
                <w:rFonts w:ascii="Calibri" w:hAnsi="Calibri"/>
                <w:b w:val="0"/>
                <w:i w:val="0"/>
                <w:color w:val="202A35"/>
                <w:sz w:val="21"/>
              </w:rPr>
              <w:t>Employment basics</w:t>
            </w:r>
          </w:p>
        </w:tc>
        <w:tc>
          <w:tcPr>
            <w:tcW w:type="dxa" w:w="700"/>
          </w:tcPr>
          <w:p>
            <w:pPr>
              <w:spacing w:before="0" w:after="0"/>
              <w:jc w:val="right"/>
            </w:pPr>
            <w:r/>
            <w:r>
              <w:rPr>
                <w:rFonts w:ascii="Calibri" w:hAnsi="Calibri"/>
                <w:b/>
                <w:color w:val="667085"/>
                <w:sz w:val="20"/>
              </w:rPr>
              <w:t>4</w:t>
            </w:r>
          </w:p>
        </w:tc>
      </w:tr>
      <w:tr>
        <w:tc>
          <w:tcPr>
            <w:tcW w:type="dxa" w:w="700"/>
            <w:tcBorders>
              <w:bottom w:val="single" w:sz="4" w:color="D9E2EC"/>
            </w:tcBorders>
          </w:tcPr>
          <w:p>
            <w:pPr>
              <w:spacing w:after="0" w:line="252" w:lineRule="auto"/>
            </w:pPr>
            <w:r/>
            <w:r>
              <w:rPr>
                <w:rFonts w:ascii="Calibri" w:hAnsi="Calibri"/>
                <w:b/>
                <w:i w:val="0"/>
                <w:color w:val="2E74B5"/>
                <w:sz w:val="20"/>
              </w:rPr>
              <w:t>2</w:t>
            </w:r>
          </w:p>
        </w:tc>
        <w:tc>
          <w:tcPr>
            <w:tcW w:type="dxa" w:w="7960"/>
            <w:tcBorders>
              <w:bottom w:val="single" w:sz="4" w:color="D9E2EC"/>
            </w:tcBorders>
          </w:tcPr>
          <w:p>
            <w:pPr>
              <w:spacing w:after="0" w:line="252" w:lineRule="auto"/>
            </w:pPr>
            <w:r/>
            <w:r>
              <w:rPr>
                <w:rFonts w:ascii="Calibri" w:hAnsi="Calibri"/>
                <w:b w:val="0"/>
                <w:i w:val="0"/>
                <w:color w:val="202A35"/>
                <w:sz w:val="21"/>
              </w:rPr>
              <w:t>Equal opportunity and a respectful workplace</w:t>
            </w:r>
          </w:p>
        </w:tc>
        <w:tc>
          <w:tcPr>
            <w:tcW w:type="dxa" w:w="700"/>
          </w:tcPr>
          <w:p>
            <w:pPr>
              <w:spacing w:before="0" w:after="0"/>
              <w:jc w:val="right"/>
            </w:pPr>
            <w:r/>
            <w:r>
              <w:rPr>
                <w:rFonts w:ascii="Calibri" w:hAnsi="Calibri"/>
                <w:b/>
                <w:color w:val="667085"/>
                <w:sz w:val="20"/>
              </w:rPr>
              <w:t>5</w:t>
            </w:r>
          </w:p>
        </w:tc>
      </w:tr>
      <w:tr>
        <w:tc>
          <w:tcPr>
            <w:tcW w:type="dxa" w:w="700"/>
            <w:tcBorders>
              <w:bottom w:val="single" w:sz="4" w:color="D9E2EC"/>
            </w:tcBorders>
          </w:tcPr>
          <w:p>
            <w:pPr>
              <w:spacing w:after="0" w:line="252" w:lineRule="auto"/>
            </w:pPr>
            <w:r/>
            <w:r>
              <w:rPr>
                <w:rFonts w:ascii="Calibri" w:hAnsi="Calibri"/>
                <w:b/>
                <w:i w:val="0"/>
                <w:color w:val="2E74B5"/>
                <w:sz w:val="20"/>
              </w:rPr>
              <w:t>3</w:t>
            </w:r>
          </w:p>
        </w:tc>
        <w:tc>
          <w:tcPr>
            <w:tcW w:type="dxa" w:w="7960"/>
            <w:tcBorders>
              <w:bottom w:val="single" w:sz="4" w:color="D9E2EC"/>
            </w:tcBorders>
          </w:tcPr>
          <w:p>
            <w:pPr>
              <w:spacing w:after="0" w:line="252" w:lineRule="auto"/>
            </w:pPr>
            <w:r/>
            <w:r>
              <w:rPr>
                <w:rFonts w:ascii="Calibri" w:hAnsi="Calibri"/>
                <w:b w:val="0"/>
                <w:i w:val="0"/>
                <w:color w:val="202A35"/>
                <w:sz w:val="21"/>
              </w:rPr>
              <w:t>Speaking up and reporting concerns</w:t>
            </w:r>
          </w:p>
        </w:tc>
        <w:tc>
          <w:tcPr>
            <w:tcW w:type="dxa" w:w="700"/>
          </w:tcPr>
          <w:p>
            <w:pPr>
              <w:spacing w:before="0" w:after="0"/>
              <w:jc w:val="right"/>
            </w:pPr>
            <w:r/>
            <w:r>
              <w:rPr>
                <w:rFonts w:ascii="Calibri" w:hAnsi="Calibri"/>
                <w:b/>
                <w:color w:val="667085"/>
                <w:sz w:val="20"/>
              </w:rPr>
              <w:t>6</w:t>
            </w:r>
          </w:p>
        </w:tc>
      </w:tr>
      <w:tr>
        <w:tc>
          <w:tcPr>
            <w:tcW w:type="dxa" w:w="700"/>
            <w:tcBorders>
              <w:bottom w:val="single" w:sz="4" w:color="D9E2EC"/>
            </w:tcBorders>
          </w:tcPr>
          <w:p>
            <w:pPr>
              <w:spacing w:after="0" w:line="252" w:lineRule="auto"/>
            </w:pPr>
            <w:r/>
            <w:r>
              <w:rPr>
                <w:rFonts w:ascii="Calibri" w:hAnsi="Calibri"/>
                <w:b/>
                <w:i w:val="0"/>
                <w:color w:val="2E74B5"/>
                <w:sz w:val="20"/>
              </w:rPr>
              <w:t>4</w:t>
            </w:r>
          </w:p>
        </w:tc>
        <w:tc>
          <w:tcPr>
            <w:tcW w:type="dxa" w:w="7960"/>
            <w:tcBorders>
              <w:bottom w:val="single" w:sz="4" w:color="D9E2EC"/>
            </w:tcBorders>
          </w:tcPr>
          <w:p>
            <w:pPr>
              <w:spacing w:after="0" w:line="252" w:lineRule="auto"/>
            </w:pPr>
            <w:r/>
            <w:r>
              <w:rPr>
                <w:rFonts w:ascii="Calibri" w:hAnsi="Calibri"/>
                <w:b w:val="0"/>
                <w:i w:val="0"/>
                <w:color w:val="202A35"/>
                <w:sz w:val="21"/>
              </w:rPr>
              <w:t>Accommodations, leave, and time away</w:t>
            </w:r>
          </w:p>
        </w:tc>
        <w:tc>
          <w:tcPr>
            <w:tcW w:type="dxa" w:w="700"/>
          </w:tcPr>
          <w:p>
            <w:pPr>
              <w:spacing w:before="0" w:after="0"/>
              <w:jc w:val="right"/>
            </w:pPr>
            <w:r/>
            <w:r>
              <w:rPr>
                <w:rFonts w:ascii="Calibri" w:hAnsi="Calibri"/>
                <w:b/>
                <w:color w:val="667085"/>
                <w:sz w:val="20"/>
              </w:rPr>
              <w:t>7</w:t>
            </w:r>
          </w:p>
        </w:tc>
      </w:tr>
      <w:tr>
        <w:tc>
          <w:tcPr>
            <w:tcW w:type="dxa" w:w="700"/>
            <w:tcBorders>
              <w:bottom w:val="single" w:sz="4" w:color="D9E2EC"/>
            </w:tcBorders>
          </w:tcPr>
          <w:p>
            <w:pPr>
              <w:spacing w:after="0" w:line="252" w:lineRule="auto"/>
            </w:pPr>
            <w:r/>
            <w:r>
              <w:rPr>
                <w:rFonts w:ascii="Calibri" w:hAnsi="Calibri"/>
                <w:b/>
                <w:i w:val="0"/>
                <w:color w:val="2E74B5"/>
                <w:sz w:val="20"/>
              </w:rPr>
              <w:t>5</w:t>
            </w:r>
          </w:p>
        </w:tc>
        <w:tc>
          <w:tcPr>
            <w:tcW w:type="dxa" w:w="7960"/>
            <w:tcBorders>
              <w:bottom w:val="single" w:sz="4" w:color="D9E2EC"/>
            </w:tcBorders>
          </w:tcPr>
          <w:p>
            <w:pPr>
              <w:spacing w:after="0" w:line="252" w:lineRule="auto"/>
            </w:pPr>
            <w:r/>
            <w:r>
              <w:rPr>
                <w:rFonts w:ascii="Calibri" w:hAnsi="Calibri"/>
                <w:b w:val="0"/>
                <w:i w:val="0"/>
                <w:color w:val="202A35"/>
                <w:sz w:val="21"/>
              </w:rPr>
              <w:t>Work schedules, attendance, and remote work</w:t>
            </w:r>
          </w:p>
        </w:tc>
        <w:tc>
          <w:tcPr>
            <w:tcW w:type="dxa" w:w="700"/>
          </w:tcPr>
          <w:p>
            <w:pPr>
              <w:spacing w:before="0" w:after="0"/>
              <w:jc w:val="right"/>
            </w:pPr>
            <w:r/>
            <w:r>
              <w:rPr>
                <w:rFonts w:ascii="Calibri" w:hAnsi="Calibri"/>
                <w:b/>
                <w:color w:val="667085"/>
                <w:sz w:val="20"/>
              </w:rPr>
              <w:t>8</w:t>
            </w:r>
          </w:p>
        </w:tc>
      </w:tr>
      <w:tr>
        <w:tc>
          <w:tcPr>
            <w:tcW w:type="dxa" w:w="700"/>
            <w:tcBorders>
              <w:bottom w:val="single" w:sz="4" w:color="D9E2EC"/>
            </w:tcBorders>
          </w:tcPr>
          <w:p>
            <w:pPr>
              <w:spacing w:after="0" w:line="252" w:lineRule="auto"/>
            </w:pPr>
            <w:r/>
            <w:r>
              <w:rPr>
                <w:rFonts w:ascii="Calibri" w:hAnsi="Calibri"/>
                <w:b/>
                <w:i w:val="0"/>
                <w:color w:val="2E74B5"/>
                <w:sz w:val="20"/>
              </w:rPr>
              <w:t>6</w:t>
            </w:r>
          </w:p>
        </w:tc>
        <w:tc>
          <w:tcPr>
            <w:tcW w:type="dxa" w:w="7960"/>
            <w:tcBorders>
              <w:bottom w:val="single" w:sz="4" w:color="D9E2EC"/>
            </w:tcBorders>
          </w:tcPr>
          <w:p>
            <w:pPr>
              <w:spacing w:after="0" w:line="252" w:lineRule="auto"/>
            </w:pPr>
            <w:r/>
            <w:r>
              <w:rPr>
                <w:rFonts w:ascii="Calibri" w:hAnsi="Calibri"/>
                <w:b w:val="0"/>
                <w:i w:val="0"/>
                <w:color w:val="202A35"/>
                <w:sz w:val="21"/>
              </w:rPr>
              <w:t>Timekeeping, breaks, and overtime</w:t>
            </w:r>
          </w:p>
        </w:tc>
        <w:tc>
          <w:tcPr>
            <w:tcW w:type="dxa" w:w="700"/>
          </w:tcPr>
          <w:p>
            <w:pPr>
              <w:spacing w:before="0" w:after="0"/>
              <w:jc w:val="right"/>
            </w:pPr>
            <w:r/>
            <w:r>
              <w:rPr>
                <w:rFonts w:ascii="Calibri" w:hAnsi="Calibri"/>
                <w:b/>
                <w:color w:val="667085"/>
                <w:sz w:val="20"/>
              </w:rPr>
              <w:t>9</w:t>
            </w:r>
          </w:p>
        </w:tc>
      </w:tr>
      <w:tr>
        <w:tc>
          <w:tcPr>
            <w:tcW w:type="dxa" w:w="700"/>
            <w:tcBorders>
              <w:bottom w:val="single" w:sz="4" w:color="D9E2EC"/>
            </w:tcBorders>
          </w:tcPr>
          <w:p>
            <w:pPr>
              <w:spacing w:after="0" w:line="252" w:lineRule="auto"/>
            </w:pPr>
            <w:r/>
            <w:r>
              <w:rPr>
                <w:rFonts w:ascii="Calibri" w:hAnsi="Calibri"/>
                <w:b/>
                <w:i w:val="0"/>
                <w:color w:val="2E74B5"/>
                <w:sz w:val="20"/>
              </w:rPr>
              <w:t>7</w:t>
            </w:r>
          </w:p>
        </w:tc>
        <w:tc>
          <w:tcPr>
            <w:tcW w:type="dxa" w:w="7960"/>
            <w:tcBorders>
              <w:bottom w:val="single" w:sz="4" w:color="D9E2EC"/>
            </w:tcBorders>
          </w:tcPr>
          <w:p>
            <w:pPr>
              <w:spacing w:after="0" w:line="252" w:lineRule="auto"/>
            </w:pPr>
            <w:r/>
            <w:r>
              <w:rPr>
                <w:rFonts w:ascii="Calibri" w:hAnsi="Calibri"/>
                <w:b w:val="0"/>
                <w:i w:val="0"/>
                <w:color w:val="202A35"/>
                <w:sz w:val="21"/>
              </w:rPr>
              <w:t>Pay, expenses, and benefits</w:t>
            </w:r>
          </w:p>
        </w:tc>
        <w:tc>
          <w:tcPr>
            <w:tcW w:type="dxa" w:w="700"/>
          </w:tcPr>
          <w:p>
            <w:pPr>
              <w:spacing w:before="0" w:after="0"/>
              <w:jc w:val="right"/>
            </w:pPr>
            <w:r/>
            <w:r>
              <w:rPr>
                <w:rFonts w:ascii="Calibri" w:hAnsi="Calibri"/>
                <w:b/>
                <w:color w:val="667085"/>
                <w:sz w:val="20"/>
              </w:rPr>
              <w:t>10</w:t>
            </w:r>
          </w:p>
        </w:tc>
      </w:tr>
      <w:tr>
        <w:tc>
          <w:tcPr>
            <w:tcW w:type="dxa" w:w="700"/>
            <w:tcBorders>
              <w:bottom w:val="single" w:sz="4" w:color="D9E2EC"/>
            </w:tcBorders>
          </w:tcPr>
          <w:p>
            <w:pPr>
              <w:spacing w:after="0" w:line="252" w:lineRule="auto"/>
            </w:pPr>
            <w:r/>
            <w:r>
              <w:rPr>
                <w:rFonts w:ascii="Calibri" w:hAnsi="Calibri"/>
                <w:b/>
                <w:i w:val="0"/>
                <w:color w:val="2E74B5"/>
                <w:sz w:val="20"/>
              </w:rPr>
              <w:t>8</w:t>
            </w:r>
          </w:p>
        </w:tc>
        <w:tc>
          <w:tcPr>
            <w:tcW w:type="dxa" w:w="7960"/>
            <w:tcBorders>
              <w:bottom w:val="single" w:sz="4" w:color="D9E2EC"/>
            </w:tcBorders>
          </w:tcPr>
          <w:p>
            <w:pPr>
              <w:spacing w:after="0" w:line="252" w:lineRule="auto"/>
            </w:pPr>
            <w:r/>
            <w:r>
              <w:rPr>
                <w:rFonts w:ascii="Calibri" w:hAnsi="Calibri"/>
                <w:b w:val="0"/>
                <w:i w:val="0"/>
                <w:color w:val="202A35"/>
                <w:sz w:val="21"/>
              </w:rPr>
              <w:t>Professional conduct and conflicts</w:t>
            </w:r>
          </w:p>
        </w:tc>
        <w:tc>
          <w:tcPr>
            <w:tcW w:type="dxa" w:w="700"/>
          </w:tcPr>
          <w:p>
            <w:pPr>
              <w:spacing w:before="0" w:after="0"/>
              <w:jc w:val="right"/>
            </w:pPr>
            <w:r/>
            <w:r>
              <w:rPr>
                <w:rFonts w:ascii="Calibri" w:hAnsi="Calibri"/>
                <w:b/>
                <w:color w:val="667085"/>
                <w:sz w:val="20"/>
              </w:rPr>
              <w:t>11</w:t>
            </w:r>
          </w:p>
        </w:tc>
      </w:tr>
      <w:tr>
        <w:tc>
          <w:tcPr>
            <w:tcW w:type="dxa" w:w="700"/>
            <w:tcBorders>
              <w:bottom w:val="single" w:sz="4" w:color="D9E2EC"/>
            </w:tcBorders>
          </w:tcPr>
          <w:p>
            <w:pPr>
              <w:spacing w:after="0" w:line="252" w:lineRule="auto"/>
            </w:pPr>
            <w:r/>
            <w:r>
              <w:rPr>
                <w:rFonts w:ascii="Calibri" w:hAnsi="Calibri"/>
                <w:b/>
                <w:i w:val="0"/>
                <w:color w:val="2E74B5"/>
                <w:sz w:val="20"/>
              </w:rPr>
              <w:t>9</w:t>
            </w:r>
          </w:p>
        </w:tc>
        <w:tc>
          <w:tcPr>
            <w:tcW w:type="dxa" w:w="7960"/>
            <w:tcBorders>
              <w:bottom w:val="single" w:sz="4" w:color="D9E2EC"/>
            </w:tcBorders>
          </w:tcPr>
          <w:p>
            <w:pPr>
              <w:spacing w:after="0" w:line="252" w:lineRule="auto"/>
            </w:pPr>
            <w:r/>
            <w:r>
              <w:rPr>
                <w:rFonts w:ascii="Calibri" w:hAnsi="Calibri"/>
                <w:b w:val="0"/>
                <w:i w:val="0"/>
                <w:color w:val="202A35"/>
                <w:sz w:val="21"/>
              </w:rPr>
              <w:t>Client service, confidentiality, and privacy</w:t>
            </w:r>
          </w:p>
        </w:tc>
        <w:tc>
          <w:tcPr>
            <w:tcW w:type="dxa" w:w="700"/>
          </w:tcPr>
          <w:p>
            <w:pPr>
              <w:spacing w:before="0" w:after="0"/>
              <w:jc w:val="right"/>
            </w:pPr>
            <w:r/>
            <w:r>
              <w:rPr>
                <w:rFonts w:ascii="Calibri" w:hAnsi="Calibri"/>
                <w:b/>
                <w:color w:val="667085"/>
                <w:sz w:val="20"/>
              </w:rPr>
              <w:t>12</w:t>
            </w:r>
          </w:p>
        </w:tc>
      </w:tr>
      <w:tr>
        <w:tc>
          <w:tcPr>
            <w:tcW w:type="dxa" w:w="700"/>
            <w:tcBorders>
              <w:bottom w:val="single" w:sz="4" w:color="D9E2EC"/>
            </w:tcBorders>
          </w:tcPr>
          <w:p>
            <w:pPr>
              <w:spacing w:after="0" w:line="252" w:lineRule="auto"/>
            </w:pPr>
            <w:r/>
            <w:r>
              <w:rPr>
                <w:rFonts w:ascii="Calibri" w:hAnsi="Calibri"/>
                <w:b/>
                <w:i w:val="0"/>
                <w:color w:val="2E74B5"/>
                <w:sz w:val="20"/>
              </w:rPr>
              <w:t>10</w:t>
            </w:r>
          </w:p>
        </w:tc>
        <w:tc>
          <w:tcPr>
            <w:tcW w:type="dxa" w:w="7960"/>
            <w:tcBorders>
              <w:bottom w:val="single" w:sz="4" w:color="D9E2EC"/>
            </w:tcBorders>
          </w:tcPr>
          <w:p>
            <w:pPr>
              <w:spacing w:after="0" w:line="252" w:lineRule="auto"/>
            </w:pPr>
            <w:r/>
            <w:r>
              <w:rPr>
                <w:rFonts w:ascii="Calibri" w:hAnsi="Calibri"/>
                <w:b w:val="0"/>
                <w:i w:val="0"/>
                <w:color w:val="202A35"/>
                <w:sz w:val="21"/>
              </w:rPr>
              <w:t>Technology, security, and responsible AI</w:t>
            </w:r>
          </w:p>
        </w:tc>
        <w:tc>
          <w:tcPr>
            <w:tcW w:type="dxa" w:w="700"/>
          </w:tcPr>
          <w:p>
            <w:pPr>
              <w:spacing w:before="0" w:after="0"/>
              <w:jc w:val="right"/>
            </w:pPr>
            <w:r/>
            <w:r>
              <w:rPr>
                <w:rFonts w:ascii="Calibri" w:hAnsi="Calibri"/>
                <w:b/>
                <w:color w:val="667085"/>
                <w:sz w:val="20"/>
              </w:rPr>
              <w:t>13</w:t>
            </w:r>
          </w:p>
        </w:tc>
      </w:tr>
      <w:tr>
        <w:tc>
          <w:tcPr>
            <w:tcW w:type="dxa" w:w="700"/>
            <w:tcBorders>
              <w:bottom w:val="single" w:sz="4" w:color="D9E2EC"/>
            </w:tcBorders>
          </w:tcPr>
          <w:p>
            <w:pPr>
              <w:spacing w:after="0" w:line="252" w:lineRule="auto"/>
            </w:pPr>
            <w:r/>
            <w:r>
              <w:rPr>
                <w:rFonts w:ascii="Calibri" w:hAnsi="Calibri"/>
                <w:b/>
                <w:i w:val="0"/>
                <w:color w:val="2E74B5"/>
                <w:sz w:val="20"/>
              </w:rPr>
              <w:t>11</w:t>
            </w:r>
          </w:p>
        </w:tc>
        <w:tc>
          <w:tcPr>
            <w:tcW w:type="dxa" w:w="7960"/>
            <w:tcBorders>
              <w:bottom w:val="single" w:sz="4" w:color="D9E2EC"/>
            </w:tcBorders>
          </w:tcPr>
          <w:p>
            <w:pPr>
              <w:spacing w:after="0" w:line="252" w:lineRule="auto"/>
            </w:pPr>
            <w:r/>
            <w:r>
              <w:rPr>
                <w:rFonts w:ascii="Calibri" w:hAnsi="Calibri"/>
                <w:b w:val="0"/>
                <w:i w:val="0"/>
                <w:color w:val="202A35"/>
                <w:sz w:val="21"/>
              </w:rPr>
              <w:t>Safety, driving, and workplace violence</w:t>
            </w:r>
          </w:p>
        </w:tc>
        <w:tc>
          <w:tcPr>
            <w:tcW w:type="dxa" w:w="700"/>
          </w:tcPr>
          <w:p>
            <w:pPr>
              <w:spacing w:before="0" w:after="0"/>
              <w:jc w:val="right"/>
            </w:pPr>
            <w:r/>
            <w:r>
              <w:rPr>
                <w:rFonts w:ascii="Calibri" w:hAnsi="Calibri"/>
                <w:b/>
                <w:color w:val="667085"/>
                <w:sz w:val="20"/>
              </w:rPr>
              <w:t>14</w:t>
            </w:r>
          </w:p>
        </w:tc>
      </w:tr>
      <w:tr>
        <w:tc>
          <w:tcPr>
            <w:tcW w:type="dxa" w:w="700"/>
            <w:tcBorders>
              <w:bottom w:val="single" w:sz="4" w:color="D9E2EC"/>
            </w:tcBorders>
          </w:tcPr>
          <w:p>
            <w:pPr>
              <w:spacing w:after="0" w:line="252" w:lineRule="auto"/>
            </w:pPr>
            <w:r/>
            <w:r>
              <w:rPr>
                <w:rFonts w:ascii="Calibri" w:hAnsi="Calibri"/>
                <w:b/>
                <w:i w:val="0"/>
                <w:color w:val="2E74B5"/>
                <w:sz w:val="20"/>
              </w:rPr>
              <w:t>12</w:t>
            </w:r>
          </w:p>
        </w:tc>
        <w:tc>
          <w:tcPr>
            <w:tcW w:type="dxa" w:w="7960"/>
            <w:tcBorders>
              <w:bottom w:val="single" w:sz="4" w:color="D9E2EC"/>
            </w:tcBorders>
          </w:tcPr>
          <w:p>
            <w:pPr>
              <w:spacing w:after="0" w:line="252" w:lineRule="auto"/>
            </w:pPr>
            <w:r/>
            <w:r>
              <w:rPr>
                <w:rFonts w:ascii="Calibri" w:hAnsi="Calibri"/>
                <w:b w:val="0"/>
                <w:i w:val="0"/>
                <w:color w:val="202A35"/>
                <w:sz w:val="21"/>
              </w:rPr>
              <w:t>Performance, training, and communication</w:t>
            </w:r>
          </w:p>
        </w:tc>
        <w:tc>
          <w:tcPr>
            <w:tcW w:type="dxa" w:w="700"/>
          </w:tcPr>
          <w:p>
            <w:pPr>
              <w:spacing w:before="0" w:after="0"/>
              <w:jc w:val="right"/>
            </w:pPr>
            <w:r/>
            <w:r>
              <w:rPr>
                <w:rFonts w:ascii="Calibri" w:hAnsi="Calibri"/>
                <w:b/>
                <w:color w:val="667085"/>
                <w:sz w:val="20"/>
              </w:rPr>
              <w:t>15</w:t>
            </w:r>
          </w:p>
        </w:tc>
      </w:tr>
      <w:tr>
        <w:tc>
          <w:tcPr>
            <w:tcW w:type="dxa" w:w="700"/>
            <w:tcBorders>
              <w:bottom w:val="single" w:sz="4" w:color="D9E2EC"/>
            </w:tcBorders>
          </w:tcPr>
          <w:p>
            <w:pPr>
              <w:spacing w:after="0" w:line="252" w:lineRule="auto"/>
            </w:pPr>
            <w:r/>
            <w:r>
              <w:rPr>
                <w:rFonts w:ascii="Calibri" w:hAnsi="Calibri"/>
                <w:b/>
                <w:i w:val="0"/>
                <w:color w:val="2E74B5"/>
                <w:sz w:val="20"/>
              </w:rPr>
              <w:t>13</w:t>
            </w:r>
          </w:p>
        </w:tc>
        <w:tc>
          <w:tcPr>
            <w:tcW w:type="dxa" w:w="7960"/>
            <w:tcBorders>
              <w:bottom w:val="single" w:sz="4" w:color="D9E2EC"/>
            </w:tcBorders>
          </w:tcPr>
          <w:p>
            <w:pPr>
              <w:spacing w:after="0" w:line="252" w:lineRule="auto"/>
            </w:pPr>
            <w:r/>
            <w:r>
              <w:rPr>
                <w:rFonts w:ascii="Calibri" w:hAnsi="Calibri"/>
                <w:b w:val="0"/>
                <w:i w:val="0"/>
                <w:color w:val="202A35"/>
                <w:sz w:val="21"/>
              </w:rPr>
              <w:t>Company property and business records</w:t>
            </w:r>
          </w:p>
        </w:tc>
        <w:tc>
          <w:tcPr>
            <w:tcW w:type="dxa" w:w="700"/>
          </w:tcPr>
          <w:p>
            <w:pPr>
              <w:spacing w:before="0" w:after="0"/>
              <w:jc w:val="right"/>
            </w:pPr>
            <w:r/>
            <w:r>
              <w:rPr>
                <w:rFonts w:ascii="Calibri" w:hAnsi="Calibri"/>
                <w:b/>
                <w:color w:val="667085"/>
                <w:sz w:val="20"/>
              </w:rPr>
              <w:t>16</w:t>
            </w:r>
          </w:p>
        </w:tc>
      </w:tr>
      <w:tr>
        <w:tc>
          <w:tcPr>
            <w:tcW w:type="dxa" w:w="700"/>
            <w:tcBorders>
              <w:bottom w:val="single" w:sz="4" w:color="D9E2EC"/>
            </w:tcBorders>
          </w:tcPr>
          <w:p>
            <w:pPr>
              <w:spacing w:after="0" w:line="252" w:lineRule="auto"/>
            </w:pPr>
            <w:r/>
            <w:r>
              <w:rPr>
                <w:rFonts w:ascii="Calibri" w:hAnsi="Calibri"/>
                <w:b/>
                <w:i w:val="0"/>
                <w:color w:val="2E74B5"/>
                <w:sz w:val="20"/>
              </w:rPr>
              <w:t>14</w:t>
            </w:r>
          </w:p>
        </w:tc>
        <w:tc>
          <w:tcPr>
            <w:tcW w:type="dxa" w:w="7960"/>
            <w:tcBorders>
              <w:bottom w:val="single" w:sz="4" w:color="D9E2EC"/>
            </w:tcBorders>
          </w:tcPr>
          <w:p>
            <w:pPr>
              <w:spacing w:after="0" w:line="252" w:lineRule="auto"/>
            </w:pPr>
            <w:r/>
            <w:r>
              <w:rPr>
                <w:rFonts w:ascii="Calibri" w:hAnsi="Calibri"/>
                <w:b w:val="0"/>
                <w:i w:val="0"/>
                <w:color w:val="202A35"/>
                <w:sz w:val="21"/>
              </w:rPr>
              <w:t>Leaving the Company</w:t>
            </w:r>
          </w:p>
        </w:tc>
        <w:tc>
          <w:tcPr>
            <w:tcW w:type="dxa" w:w="700"/>
          </w:tcPr>
          <w:p>
            <w:pPr>
              <w:spacing w:before="0" w:after="0"/>
              <w:jc w:val="right"/>
            </w:pPr>
            <w:r/>
            <w:r>
              <w:rPr>
                <w:rFonts w:ascii="Calibri" w:hAnsi="Calibri"/>
                <w:b/>
                <w:color w:val="667085"/>
                <w:sz w:val="20"/>
              </w:rPr>
              <w:t>17</w:t>
            </w:r>
          </w:p>
        </w:tc>
      </w:tr>
      <w:tr>
        <w:tc>
          <w:tcPr>
            <w:tcW w:type="dxa" w:w="700"/>
            <w:tcBorders>
              <w:bottom w:val="single" w:sz="4" w:color="D9E2EC"/>
            </w:tcBorders>
          </w:tcPr>
          <w:p>
            <w:pPr>
              <w:spacing w:after="0" w:line="252" w:lineRule="auto"/>
            </w:pPr>
            <w:r/>
            <w:r>
              <w:rPr>
                <w:rFonts w:ascii="Calibri" w:hAnsi="Calibri"/>
                <w:b/>
                <w:i w:val="0"/>
                <w:color w:val="2E74B5"/>
                <w:sz w:val="20"/>
              </w:rPr>
              <w:t>15</w:t>
            </w:r>
          </w:p>
        </w:tc>
        <w:tc>
          <w:tcPr>
            <w:tcW w:type="dxa" w:w="7960"/>
            <w:tcBorders>
              <w:bottom w:val="single" w:sz="4" w:color="D9E2EC"/>
            </w:tcBorders>
          </w:tcPr>
          <w:p>
            <w:pPr>
              <w:spacing w:after="0" w:line="252" w:lineRule="auto"/>
            </w:pPr>
            <w:r/>
            <w:r>
              <w:rPr>
                <w:rFonts w:ascii="Calibri" w:hAnsi="Calibri"/>
                <w:b w:val="0"/>
                <w:i w:val="0"/>
                <w:color w:val="202A35"/>
                <w:sz w:val="21"/>
              </w:rPr>
              <w:t>Questions, changes, and acknowledgment</w:t>
            </w:r>
          </w:p>
        </w:tc>
        <w:tc>
          <w:tcPr>
            <w:tcW w:type="dxa" w:w="700"/>
          </w:tcPr>
          <w:p>
            <w:pPr>
              <w:spacing w:before="0" w:after="0"/>
              <w:jc w:val="right"/>
            </w:pPr>
            <w:r/>
            <w:r>
              <w:rPr>
                <w:rFonts w:ascii="Calibri" w:hAnsi="Calibri"/>
                <w:b/>
                <w:color w:val="667085"/>
                <w:sz w:val="20"/>
              </w:rPr>
              <w:t>18</w:t>
            </w:r>
          </w:p>
        </w:tc>
      </w:tr>
    </w:tbl>
    <w:p>
      <w:pPr>
        <w:spacing w:before="0" w:after="0" w:line="20" w:lineRule="exact"/>
        <w:sectPr w:rsidR="00FC693F" w:rsidRPr="0006063C" w:rsidSect="00034616">
          <w:footerReference w:type="default" r:id="rId14"/>
          <w:type w:val="nextPage"/>
          <w:headerReference w:type="default" r:id="rId9"/>
          <w:pgSz w:w="12240" w:h="15840"/>
          <w:pgMar w:top="1440" w:right="1440" w:bottom="1440" w:left="1440" w:header="706" w:footer="605" w:gutter="0"/>
          <w:cols w:space="720"/>
          <w:docGrid w:linePitch="360"/>
        </w:sectPr>
      </w:pPr>
    </w:p>
    <w:p>
      <w:pPr>
        <w:pStyle w:val="Heading1"/>
      </w:pPr>
      <w:r>
        <w:t>1. Employment Basics</w:t>
      </w:r>
    </w:p>
    <w:p>
      <w:pPr>
        <w:pStyle w:val="Heading2"/>
      </w:pPr>
      <w:r>
        <w:t>About this handbook</w:t>
      </w:r>
    </w:p>
    <w:p>
      <w:r>
        <w:t>This handbook summarizes the Company’s general workplace policies. It does not cover every situation and is not an employment contract. An offer letter, wage notice, benefits document, leave notice, safety plan, remote-work agreement, or other signed writing may provide additional details. Ask the people contact if documents appear inconsistent.</w:t>
      </w:r>
    </w:p>
    <w:p>
      <w:pPr>
        <w:pStyle w:val="Heading2"/>
      </w:pPr>
      <w:r>
        <w:t>Written employment terms</w:t>
      </w:r>
    </w:p>
    <w:p>
      <w:r>
        <w:t>The reviewed written offer states the terms concerning the duration or ending of employment under applicable law. No manager or employee may promise different terms without written authorization. Ask the people contact if an offer and this handbook appear inconsistent.</w:t>
      </w:r>
    </w:p>
    <w:p>
      <w:pPr>
        <w:pStyle w:val="Heading2"/>
      </w:pPr>
      <w:r>
        <w:t>Your job and responsibilities</w:t>
      </w:r>
    </w:p>
    <w:p>
      <w:r>
        <w:t>Your title describes the general nature of your work, but duties may change as business needs change. The Company will try to explain priorities, expected results, deadlines, and decision authority. Ask before acting when the assignment, legal entity, client, budget, or approval is unclear.</w:t>
      </w:r>
    </w:p>
    <w:p>
      <w:pPr>
        <w:pStyle w:val="Heading2"/>
      </w:pPr>
      <w:r>
        <w:t>Employment information</w:t>
      </w:r>
    </w:p>
    <w:p>
      <w:r>
        <w:t>The Company will provide the written information required for your role and work location, such as classification, pay rate or salary, payday, workweek, usual schedule, and primary work location. Review those documents and report an error promptly. Do not begin work before the authorized start date, and never work without recording time when timekeeping applies to you.</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NO UNPAID WORK</w:t>
              <w:br/>
            </w:r>
            <w:r>
              <w:rPr>
                <w:rFonts w:ascii="Calibri" w:hAnsi="Calibri"/>
                <w:b w:val="0"/>
                <w:i w:val="0"/>
                <w:color w:val="202A35"/>
                <w:sz w:val="21"/>
              </w:rPr>
              <w:t>Training, setup, short messages, calls, and other required tasks may be work time. Nonexempt employees must record all time worked, even if the work was not scheduled or approved in advance.</w:t>
            </w:r>
          </w:p>
        </w:tc>
      </w:tr>
    </w:tbl>
    <w:p>
      <w:pPr>
        <w:spacing w:after="0"/>
      </w:pPr>
    </w:p>
    <w:p>
      <w:pPr>
        <w:spacing w:before="0" w:after="0" w:line="20" w:lineRule="exact"/>
        <w:sectPr w:rsidR="00FC693F" w:rsidRPr="0006063C" w:rsidSect="00034616">
          <w:footerReference w:type="default" r:id="rId15"/>
          <w:type w:val="nextPage"/>
          <w:headerReference w:type="default" r:id="rId9"/>
          <w:pgSz w:w="12240" w:h="15840"/>
          <w:pgMar w:top="1440" w:right="1440" w:bottom="1440" w:left="1440" w:header="706" w:footer="605" w:gutter="0"/>
          <w:cols w:space="720"/>
          <w:docGrid w:linePitch="360"/>
        </w:sectPr>
      </w:pPr>
    </w:p>
    <w:p>
      <w:pPr>
        <w:pStyle w:val="Heading1"/>
      </w:pPr>
      <w:r>
        <w:t>2. Equal Opportunity and a Respectful Workplace</w:t>
      </w:r>
    </w:p>
    <w:p>
      <w:pPr>
        <w:pStyle w:val="Heading2"/>
      </w:pPr>
      <w:r>
        <w:t>Equal employment opportunity</w:t>
      </w:r>
    </w:p>
    <w:p>
      <w:r>
        <w:t>The Company provides equal employment opportunity and prohibits unlawful discrimination based on any status protected by applicable law. This applies to recruiting, hiring, assignments, pay, training, promotion, discipline, separation, and every other term or condition of employment.</w:t>
      </w:r>
    </w:p>
    <w:p>
      <w:pPr>
        <w:pStyle w:val="Heading2"/>
      </w:pPr>
      <w:r>
        <w:t>Harassment and abusive conduct</w:t>
      </w:r>
    </w:p>
    <w:p>
      <w:r>
        <w:t>The Company does not tolerate unlawful harassment, sexual harassment, retaliation, bullying, threats, or abusive conduct. The rule applies in person and online, during travel, at client locations, at work-related events, and in messages, calls, email, or social media connected to work. It applies to conduct by employees, managers, clients, vendors, contractors, and visitors.</w:t>
      </w:r>
    </w:p>
    <w:p>
      <w:r>
        <w:t>Harassment can be verbal, visual, physical, written, sexual, or digital. Examples include slurs; offensive jokes or images; unwanted touching or sexual attention; repeated unwelcome comments; threats; stalking; and conduct aimed at someone because of a protected characteristic. Conduct may violate Company policy even when it does not meet the legal definition of harassment.</w:t>
      </w:r>
    </w:p>
    <w:p>
      <w:pPr>
        <w:pStyle w:val="Heading2"/>
      </w:pPr>
      <w:r>
        <w:t>Respect in everyday work</w:t>
      </w:r>
    </w:p>
    <w:p>
      <w:r>
        <w:t>Employees are expected to disagree professionally. Do not humiliate, intimidate, deliberately exclude, or punish someone for asking a question or raising a concern. Feedback should address the work or behavior, not attack the person.</w:t>
      </w:r>
    </w:p>
    <w:p>
      <w:pPr>
        <w:pStyle w:val="Heading2"/>
      </w:pPr>
      <w:r>
        <w:t>Manager responsibility</w:t>
      </w:r>
    </w:p>
    <w:p>
      <w:r>
        <w:t>A manager who sees, receives, or learns about possible discrimination, harassment, retaliation, or a serious safety concern must promptly send it to the designated Company contact. Managers should not promise secrecy or try to handle the matter alone.</w:t>
      </w:r>
    </w:p>
    <w:p>
      <w:pPr>
        <w:spacing w:before="0" w:after="0" w:line="20" w:lineRule="exact"/>
        <w:sectPr w:rsidR="00FC693F" w:rsidRPr="0006063C" w:rsidSect="00034616">
          <w:footerReference w:type="default" r:id="rId16"/>
          <w:type w:val="nextPage"/>
          <w:headerReference w:type="default" r:id="rId9"/>
          <w:pgSz w:w="12240" w:h="15840"/>
          <w:pgMar w:top="1440" w:right="1440" w:bottom="1440" w:left="1440" w:header="706" w:footer="605" w:gutter="0"/>
          <w:cols w:space="720"/>
          <w:docGrid w:linePitch="360"/>
        </w:sectPr>
      </w:pPr>
    </w:p>
    <w:p>
      <w:pPr>
        <w:pStyle w:val="Heading1"/>
      </w:pPr>
      <w:r>
        <w:t>3. Speaking Up and Reporting Concerns</w:t>
      </w:r>
    </w:p>
    <w:p>
      <w:pPr>
        <w:pStyle w:val="Heading2"/>
      </w:pPr>
      <w:r>
        <w:t>How to report a concern</w:t>
      </w:r>
    </w:p>
    <w:p>
      <w:r>
        <w:t>Tell your manager, the people contact, or the alternate reporting contact listed near the front of this handbook. You do not have to report to someone involved in the concern. You may report verbally or in writing and may ask for help putting the facts in writing.</w:t>
      </w:r>
    </w:p>
    <w:p>
      <w:pPr>
        <w:pStyle w:val="ListBullet"/>
      </w:pPr>
      <w:r>
        <w:t>Share what happened, when and where it happened, and who was involved.</w:t>
      </w:r>
    </w:p>
    <w:p>
      <w:pPr>
        <w:pStyle w:val="ListBullet"/>
      </w:pPr>
      <w:r>
        <w:t>Include messages, documents, or names of witnesses if you have them.</w:t>
      </w:r>
    </w:p>
    <w:p>
      <w:pPr>
        <w:pStyle w:val="ListBullet"/>
      </w:pPr>
      <w:r>
        <w:t>Say if anyone may be in immediate danger or if evidence may be lost.</w:t>
      </w:r>
    </w:p>
    <w:p>
      <w:pPr>
        <w:pStyle w:val="ListBullet"/>
      </w:pPr>
      <w:r>
        <w:t>Report new information or possible retaliation as soon as you can.</w:t>
      </w:r>
    </w:p>
    <w:p>
      <w:pPr>
        <w:pStyle w:val="Heading2"/>
      </w:pPr>
      <w:r>
        <w:t>What the Company will do</w:t>
      </w:r>
    </w:p>
    <w:p>
      <w:r>
        <w:t>The Company will route the concern to an appropriate reviewer, gather information reasonably needed to understand what happened, allow the people involved a fair chance to be heard, and take action based on the available information. The Company will protect privacy as much as practical, but cannot promise complete confidentiality when information must be shared to review or address a concern.</w:t>
      </w:r>
    </w:p>
    <w:p>
      <w:pPr>
        <w:pStyle w:val="Heading2"/>
      </w:pPr>
      <w:r>
        <w:t>No retaliation</w:t>
      </w:r>
    </w:p>
    <w:p>
      <w:r>
        <w:t>The Company prohibits retaliation against a person who, in good faith, asks a policy question, requests accommodation or leave, raises a pay or safety concern, reports possible misconduct, participates in a review, or exercises a protected right. Retaliation can include threats, schedule or assignment changes, exclusion, poor treatment, or pressure to withdraw a concern. Report it promptly.</w:t>
      </w:r>
    </w:p>
    <w:p>
      <w:pPr>
        <w:pStyle w:val="Heading2"/>
      </w:pPr>
      <w:r>
        <w:t>Outside resources</w:t>
      </w:r>
    </w:p>
    <w:p>
      <w:r>
        <w:t>Nothing in this handbook requires you to report internally first or prevents you from contacting a government agency, law enforcement, an attorney, a union or coworker, or another resource protected by law.</w:t>
      </w:r>
    </w:p>
    <w:p>
      <w:pPr>
        <w:spacing w:before="0" w:after="0" w:line="20" w:lineRule="exact"/>
        <w:sectPr w:rsidR="00FC693F" w:rsidRPr="0006063C" w:rsidSect="00034616">
          <w:footerReference w:type="default" r:id="rId17"/>
          <w:type w:val="nextPage"/>
          <w:headerReference w:type="default" r:id="rId9"/>
          <w:pgSz w:w="12240" w:h="15840"/>
          <w:pgMar w:top="1440" w:right="1440" w:bottom="1440" w:left="1440" w:header="706" w:footer="605" w:gutter="0"/>
          <w:cols w:space="720"/>
          <w:docGrid w:linePitch="360"/>
        </w:sectPr>
      </w:pPr>
    </w:p>
    <w:p>
      <w:pPr>
        <w:pStyle w:val="Heading1"/>
      </w:pPr>
      <w:r>
        <w:t>4. Accommodations, Leave, and Time Away</w:t>
      </w:r>
    </w:p>
    <w:p>
      <w:pPr>
        <w:pStyle w:val="Heading2"/>
      </w:pPr>
      <w:r>
        <w:t>Workplace accommodations</w:t>
      </w:r>
    </w:p>
    <w:p>
      <w:r>
        <w:t>Tell your manager or the people contact if you need a change or support because of a disability, medical condition, pregnancy or a related condition, religion, lactation need, or another protected reason. You do not need to use legal language. The Company will communicate with you in good faith about the need, effective options, and information that may reasonably be required.</w:t>
      </w:r>
    </w:p>
    <w:p>
      <w:pPr>
        <w:pStyle w:val="Heading2"/>
      </w:pPr>
      <w:r>
        <w:t>Medical information</w:t>
      </w:r>
    </w:p>
    <w:p>
      <w:r>
        <w:t>Send medical documentation only through the method provided by the people contact. The Company will keep medical information in a restricted location separate from ordinary team records, as required. Managers should receive only the information they need to carry out an approved arrangement.</w:t>
      </w:r>
    </w:p>
    <w:p>
      <w:pPr>
        <w:pStyle w:val="Heading2"/>
      </w:pPr>
      <w:r>
        <w:t>Leave and protected time</w:t>
      </w:r>
    </w:p>
    <w:p>
      <w:r>
        <w:t>The Company provides leave and protected time away when required for the employee’s work location and circumstances. Depending on eligibility and location, this may include sick leave, family or medical leave, pregnancy-related leave, jury or witness duty, voting time, military leave, bereavement or reproductive-loss leave, and time related to safety, crime-victim, or school activities. The written notice for the specific leave explains eligibility, pay, notice, documentation, and return-to-work requirements. The written paid-sick-leave schedule must also specify the earning method, benefit year, use and carryover rules, and balance reporting. Provide that schedule before issue.</w:t>
      </w:r>
    </w:p>
    <w:p>
      <w:pPr>
        <w:pStyle w:val="Heading2"/>
      </w:pPr>
      <w:r>
        <w:t>Requesting time away</w:t>
      </w:r>
    </w:p>
    <w:p>
      <w:r>
        <w:t>Give as much notice as practical, but emergencies happen. State the expected dates and how you can safely be contacted; you do not need to share unnecessary medical details with your team. Your manager may coordinate coverage, but approval and documentation questions should go to the people contact.</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IF WORK IS AFFECTED</w:t>
              <w:br/>
            </w:r>
            <w:r>
              <w:rPr>
                <w:rFonts w:ascii="Calibri" w:hAnsi="Calibri"/>
                <w:b w:val="0"/>
                <w:i w:val="0"/>
                <w:color w:val="202A35"/>
                <w:sz w:val="21"/>
              </w:rPr>
              <w:t>Do not hide time, work during unpaid leave, or use off-the-clock work to solve a schedule or accommodation problem. Tell the Company so the arrangement can be reviewed.</w:t>
            </w:r>
          </w:p>
        </w:tc>
      </w:tr>
    </w:tbl>
    <w:p>
      <w:pPr>
        <w:spacing w:after="0"/>
      </w:pPr>
    </w:p>
    <w:p>
      <w:pPr>
        <w:spacing w:before="0" w:after="0" w:line="20" w:lineRule="exact"/>
        <w:sectPr w:rsidR="00FC693F" w:rsidRPr="0006063C" w:rsidSect="00034616">
          <w:footerReference w:type="default" r:id="rId18"/>
          <w:type w:val="nextPage"/>
          <w:headerReference w:type="default" r:id="rId9"/>
          <w:pgSz w:w="12240" w:h="15840"/>
          <w:pgMar w:top="1440" w:right="1440" w:bottom="1440" w:left="1440" w:header="706" w:footer="605" w:gutter="0"/>
          <w:cols w:space="720"/>
          <w:docGrid w:linePitch="360"/>
        </w:sectPr>
      </w:pPr>
    </w:p>
    <w:p>
      <w:pPr>
        <w:pStyle w:val="Heading1"/>
      </w:pPr>
      <w:r>
        <w:t>5. Schedules, Attendance, and Remote Work</w:t>
      </w:r>
    </w:p>
    <w:p>
      <w:pPr>
        <w:pStyle w:val="Heading2"/>
      </w:pPr>
      <w:r>
        <w:t>Your schedule</w:t>
      </w:r>
    </w:p>
    <w:p>
      <w:r>
        <w:t>Your employment information states your usual schedule, workweek, availability expectations, and primary work location. Be ready to work and reasonably reachable through approved channels during scheduled hours, except during breaks, approved time away, or emergencies.</w:t>
      </w:r>
    </w:p>
    <w:p>
      <w:pPr>
        <w:pStyle w:val="Heading2"/>
      </w:pPr>
      <w:r>
        <w:t>Attendance and notice</w:t>
      </w:r>
    </w:p>
    <w:p>
      <w:r>
        <w:t>Tell your manager as soon as practical if you will be late, absent, disconnected, or unable to finish an important commitment. In an emergency, focus on safety first. Repeated attendance problems or failure to communicate may lead to corrective action, unless the absence or conduct is protected by law.</w:t>
      </w:r>
    </w:p>
    <w:p>
      <w:pPr>
        <w:pStyle w:val="Heading2"/>
      </w:pPr>
      <w:r>
        <w:t>Remote and hybrid work</w:t>
      </w:r>
    </w:p>
    <w:p>
      <w:r>
        <w:t>Remote or hybrid work depends on the role and may change when business, performance, security, safety, or legal needs require. Maintain a reasonably safe and private work area. Use approved equipment, accounts, networks, and storage. Protect conversations and screens from people who are not authorized to see or hear them.</w:t>
      </w:r>
    </w:p>
    <w:p>
      <w:pPr>
        <w:pStyle w:val="Heading2"/>
      </w:pPr>
      <w:r>
        <w:t>Working from another location</w:t>
      </w:r>
    </w:p>
    <w:p>
      <w:r>
        <w:t>Do not begin working from a new primary location, another state, or another country without written approval. Location can affect payroll, taxes, wage rules, insurance, licensing, safety, expense reimbursement, and data handling.</w:t>
      </w:r>
    </w:p>
    <w:p>
      <w:pPr>
        <w:pStyle w:val="Heading2"/>
      </w:pPr>
      <w:r>
        <w:t>Practical communication</w:t>
      </w:r>
    </w:p>
    <w:p>
      <w:r>
        <w:t>You are not expected to be online every minute. Keep your calendar or agreed status current, answer time-sensitive requests reasonably promptly, and tell the team when an interruption changes a commitment. Routine messages outside your schedule do not require an immediate response unless you have been specifically assigned after-hours or on-call work.</w:t>
      </w:r>
    </w:p>
    <w:p>
      <w:pPr>
        <w:spacing w:before="0" w:after="0" w:line="20" w:lineRule="exact"/>
        <w:sectPr w:rsidR="00FC693F" w:rsidRPr="0006063C" w:rsidSect="00034616">
          <w:footerReference w:type="default" r:id="rId19"/>
          <w:type w:val="nextPage"/>
          <w:headerReference w:type="default" r:id="rId9"/>
          <w:pgSz w:w="12240" w:h="15840"/>
          <w:pgMar w:top="1440" w:right="1440" w:bottom="1440" w:left="1440" w:header="706" w:footer="605" w:gutter="0"/>
          <w:cols w:space="720"/>
          <w:docGrid w:linePitch="360"/>
        </w:sectPr>
      </w:pPr>
    </w:p>
    <w:p>
      <w:pPr>
        <w:pStyle w:val="Heading1"/>
      </w:pPr>
      <w:r>
        <w:t>6. Timekeeping, Breaks, and Overtime</w:t>
      </w:r>
    </w:p>
    <w:p>
      <w:pPr>
        <w:pStyle w:val="Heading2"/>
      </w:pPr>
      <w:r>
        <w:t>Accurate time records</w:t>
      </w:r>
    </w:p>
    <w:p>
      <w:r>
        <w:t>Nonexempt employees must personally record all time worked using the Company’s approved method. Record start and stop times, required training and setup, short tasks and messages, and any work performed outside the usual schedule. Never work off the clock, ask someone else to record time for you, or change a record to match a budget.</w:t>
      </w:r>
    </w:p>
    <w:p>
      <w:pPr>
        <w:pStyle w:val="Heading2"/>
      </w:pPr>
      <w:r>
        <w:t>Corrections</w:t>
      </w:r>
    </w:p>
    <w:p>
      <w:r>
        <w:t>Review time entries and report a missed punch, wrong entry, or other error promptly. A manager may address work performed without advance approval, but the Company will not ask an employee to hide time actually worked.</w:t>
      </w:r>
    </w:p>
    <w:p>
      <w:pPr>
        <w:pStyle w:val="Heading2"/>
      </w:pPr>
      <w:r>
        <w:t>Meal and rest periods</w:t>
      </w:r>
    </w:p>
    <w:p>
      <w:r>
        <w:t>Take the meal and rest periods required for your classification and work location. For California nonexempt employees, the Company will provide meal and rest periods under the applicable wage-and-hour rules and the written scheduling instructions provided for the role. Do not work during an unpaid, duty-free meal period. Promptly report any period that was missed, late, short, interrupted, or on duty.</w:t>
      </w:r>
    </w:p>
    <w:p>
      <w:pPr>
        <w:pStyle w:val="Heading2"/>
      </w:pPr>
      <w:r>
        <w:t>Overtime and unscheduled work</w:t>
      </w:r>
    </w:p>
    <w:p>
      <w:r>
        <w:t>Get advance approval before working overtime or outside your schedule when practical. Even when approval was not obtained, record all time actually worked. Do not volunteer unpaid time or continue working after clocking out.</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PAY QUESTIONS ARE WELCOME</w:t>
              <w:br/>
            </w:r>
            <w:r>
              <w:rPr>
                <w:rFonts w:ascii="Calibri" w:hAnsi="Calibri"/>
                <w:b w:val="0"/>
                <w:i w:val="0"/>
                <w:color w:val="202A35"/>
                <w:sz w:val="21"/>
              </w:rPr>
              <w:t>Raise a concern about time, breaks, wages, deductions, or reimbursement as soon as you notice it. The Company prohibits retaliation for a good-faith wage or timekeeping concern.</w:t>
            </w:r>
          </w:p>
        </w:tc>
      </w:tr>
    </w:tbl>
    <w:p>
      <w:pPr>
        <w:spacing w:after="0"/>
      </w:pPr>
    </w:p>
    <w:p>
      <w:pPr>
        <w:spacing w:before="0" w:after="0" w:line="20" w:lineRule="exact"/>
        <w:sectPr w:rsidR="00FC693F" w:rsidRPr="0006063C" w:rsidSect="00034616">
          <w:footerReference w:type="default" r:id="rId20"/>
          <w:type w:val="nextPage"/>
          <w:headerReference w:type="default" r:id="rId9"/>
          <w:pgSz w:w="12240" w:h="15840"/>
          <w:pgMar w:top="1440" w:right="1440" w:bottom="1440" w:left="1440" w:header="706" w:footer="605" w:gutter="0"/>
          <w:cols w:space="720"/>
          <w:docGrid w:linePitch="360"/>
        </w:sectPr>
      </w:pPr>
    </w:p>
    <w:p>
      <w:pPr>
        <w:pStyle w:val="Heading1"/>
      </w:pPr>
      <w:r>
        <w:t>7. Pay, Expenses, and Benefits</w:t>
      </w:r>
    </w:p>
    <w:p>
      <w:pPr>
        <w:pStyle w:val="Heading2"/>
      </w:pPr>
      <w:r>
        <w:t>Pay information</w:t>
      </w:r>
    </w:p>
    <w:p>
      <w:r>
        <w:t>Your offer, wage notice, and payroll records state your pay basis and rate, classification, pay period, regular payday, and payment method. Review every wage statement and report a suspected error promptly. The Company will investigate and make any correction required.</w:t>
      </w:r>
    </w:p>
    <w:p>
      <w:pPr>
        <w:pStyle w:val="Heading2"/>
      </w:pPr>
      <w:r>
        <w:t>Deductions and payroll information</w:t>
      </w:r>
    </w:p>
    <w:p>
      <w:r>
        <w:t>The Company makes only authorized or legally required deductions. Complete official tax-withholding and payroll forms through the process provided to you. Do not send bank information, taxpayer identification numbers, identity documents, or medical information through ordinary email or chat.</w:t>
      </w:r>
    </w:p>
    <w:p>
      <w:pPr>
        <w:pStyle w:val="Heading2"/>
      </w:pPr>
      <w:r>
        <w:t>Business expenses</w:t>
      </w:r>
    </w:p>
    <w:p>
      <w:r>
        <w:t>The Company reimburses reasonable and necessary business expenses as required by applicable law and the written expense instructions for the role. Obtain approval when practical, use the approved purchasing method, identify the business purpose, and submit available receipts on time. Ask before spending personal funds if the amount or purpose is unclear.</w:t>
      </w:r>
    </w:p>
    <w:p>
      <w:pPr>
        <w:pStyle w:val="Heading2"/>
      </w:pPr>
      <w:r>
        <w:t>Benefits and paid time off</w:t>
      </w:r>
    </w:p>
    <w:p>
      <w:r>
        <w:t>If the Company offers a benefit or discretionary paid-time-off program, the issued plan or policy explains eligibility, employee cost, coverage, waiting periods, accrual, carryover, and other terms. This handbook does not create a benefit that has not been separately issued. The governing plan document controls if it differs from this summary, to the extent permitted by law.</w:t>
      </w:r>
    </w:p>
    <w:p>
      <w:pPr>
        <w:pStyle w:val="Heading2"/>
      </w:pPr>
      <w:r>
        <w:t>Payroll and benefits questions</w:t>
      </w:r>
    </w:p>
    <w:p>
      <w:r>
        <w:t>Contact the people or payroll contact listed near the front of this handbook. Report a missing payment, incorrect deduction, or coverage problem promptly; do not assume it will correct itself.</w:t>
      </w:r>
    </w:p>
    <w:p>
      <w:pPr>
        <w:spacing w:before="0" w:after="0" w:line="20" w:lineRule="exact"/>
        <w:sectPr w:rsidR="00FC693F" w:rsidRPr="0006063C" w:rsidSect="00034616">
          <w:footerReference w:type="default" r:id="rId21"/>
          <w:type w:val="nextPage"/>
          <w:headerReference w:type="default" r:id="rId9"/>
          <w:pgSz w:w="12240" w:h="15840"/>
          <w:pgMar w:top="1440" w:right="1440" w:bottom="1440" w:left="1440" w:header="706" w:footer="605" w:gutter="0"/>
          <w:cols w:space="720"/>
          <w:docGrid w:linePitch="360"/>
        </w:sectPr>
      </w:pPr>
    </w:p>
    <w:p>
      <w:pPr>
        <w:pStyle w:val="Heading1"/>
      </w:pPr>
      <w:r>
        <w:t>8. Professional Conduct and Conflicts</w:t>
      </w:r>
    </w:p>
    <w:p>
      <w:pPr>
        <w:pStyle w:val="Heading2"/>
      </w:pPr>
      <w:r>
        <w:t>Everyday conduct</w:t>
      </w:r>
    </w:p>
    <w:p>
      <w:r>
        <w:t>Employees are expected to be honest, respectful, prepared, and careful with company and client property. Follow lawful instructions, maintain accurate records, and meet reasonable commitments. Dishonesty, theft, fraud, retaliation, deliberate falsification, threats, violence, harassment, serious insubordination, unsafe conduct, or misuse of information or systems may lead to corrective action, up to and including separation.</w:t>
      </w:r>
    </w:p>
    <w:p>
      <w:pPr>
        <w:pStyle w:val="Heading2"/>
      </w:pPr>
      <w:r>
        <w:t>Conflicts of interest</w:t>
      </w:r>
    </w:p>
    <w:p>
      <w:r>
        <w:t>Tell your manager about an actual or reasonably apparent conflict involving a personal, family, romantic, financial, ownership, vendor, referral, or outside-business interest. Disclosure does not automatically prohibit the relationship; it allows the Company to decide whether access, supervision, review, or assignments should change.</w:t>
      </w:r>
    </w:p>
    <w:p>
      <w:pPr>
        <w:pStyle w:val="Heading2"/>
      </w:pPr>
      <w:r>
        <w:t>Outside work</w:t>
      </w:r>
    </w:p>
    <w:p>
      <w:r>
        <w:t>Outside work must not interfere with the Company duties, misuse Company or client information or resources, create a conflict, or imply Company endorsement. Ask before working for a competitor, client, vendor, or closely related business when interests may overlap.</w:t>
      </w:r>
    </w:p>
    <w:p>
      <w:pPr>
        <w:pStyle w:val="Heading2"/>
      </w:pPr>
      <w:r>
        <w:t>Gifts and improper payments</w:t>
      </w:r>
    </w:p>
    <w:p>
      <w:r>
        <w:t>Do not offer, request, or accept a bribe, kickback, secret commission, or gift intended to improperly influence a decision. A modest customary item may be acceptable only when lawful, transparent, and consistent with the Company and client rules. When unsure, disclose it before acting.</w:t>
      </w:r>
    </w:p>
    <w:p>
      <w:pPr>
        <w:pStyle w:val="Heading2"/>
      </w:pPr>
      <w:r>
        <w:t>Authority to act</w:t>
      </w:r>
    </w:p>
    <w:p>
      <w:r>
        <w:t>A job title or system access does not by itself authorize you to sign, spend, borrow, transfer funds, change access, publish, file, hire, terminate, set pay, accept money, or make a legal or public commitment. Obtain the required approval before acting.</w:t>
      </w:r>
    </w:p>
    <w:p>
      <w:pPr>
        <w:spacing w:before="0" w:after="0" w:line="20" w:lineRule="exact"/>
        <w:sectPr w:rsidR="00FC693F" w:rsidRPr="0006063C" w:rsidSect="00034616">
          <w:footerReference w:type="default" r:id="rId22"/>
          <w:type w:val="nextPage"/>
          <w:headerReference w:type="default" r:id="rId9"/>
          <w:pgSz w:w="12240" w:h="15840"/>
          <w:pgMar w:top="1440" w:right="1440" w:bottom="1440" w:left="1440" w:header="706" w:footer="605" w:gutter="0"/>
          <w:cols w:space="720"/>
          <w:docGrid w:linePitch="360"/>
        </w:sectPr>
      </w:pPr>
    </w:p>
    <w:p>
      <w:pPr>
        <w:pStyle w:val="Heading1"/>
      </w:pPr>
      <w:r>
        <w:t>9. Client Service, Confidentiality, and Privacy</w:t>
      </w:r>
    </w:p>
    <w:p>
      <w:pPr>
        <w:pStyle w:val="Heading2"/>
      </w:pPr>
      <w:r>
        <w:t>Serving clients responsibly</w:t>
      </w:r>
    </w:p>
    <w:p>
      <w:r>
        <w:t>Be accurate about what the Company can do. Do not promise a result that depends on another person, agency, insurer, lender, vendor, or future event. Do not give legal, tax, insurance, investment, medical, or other regulated professional advice unless the Company has expressly authorized the service and the person providing it is properly qualified.</w:t>
      </w:r>
    </w:p>
    <w:p>
      <w:pPr>
        <w:pStyle w:val="Heading2"/>
      </w:pPr>
      <w:r>
        <w:t>Confidential information</w:t>
      </w:r>
    </w:p>
    <w:p>
      <w:r>
        <w:t>Use confidential information only for approved work and share it only with people who need it. This includes company plans, client information, contracts, pricing, credentials, financial information, personnel and payroll records, identity documents, medical information, and nonpublic business records.</w:t>
      </w:r>
    </w:p>
    <w:p>
      <w:pPr>
        <w:pStyle w:val="Heading2"/>
      </w:pPr>
      <w:r>
        <w:t>Privacy in daily work</w:t>
      </w:r>
    </w:p>
    <w:p>
      <w:r>
        <w:t>Collect only information that is needed and authorized. Verify recipients before sending. Use approved storage and sharing settings. Keep screens and conversations private. Do not copy restricted information to personal email, personal cloud storage, personal devices, or unapproved messages.</w:t>
      </w:r>
    </w:p>
    <w:p>
      <w:pPr>
        <w:pStyle w:val="Heading2"/>
      </w:pPr>
      <w:r>
        <w:t>Mistakes and suspicious requests</w:t>
      </w:r>
    </w:p>
    <w:p>
      <w:r>
        <w:t>Immediately report a mistaken disclosure, lost record, suspicious request, unexpected payment instruction, or information sent to the wrong person. Fast reporting helps the Company limit harm. Do not conceal the mistake or try to delete evidence.</w:t>
      </w:r>
    </w:p>
    <w:p>
      <w:pPr>
        <w:pStyle w:val="Heading2"/>
      </w:pPr>
      <w:r>
        <w:t>Protected rights</w:t>
      </w:r>
    </w:p>
    <w:p>
      <w:r>
        <w:t>Nothing in this handbook prohibits lawful discussion of wages, hours, or working conditions; protected concerted activity; whistleblowing; government reporting; participation in an investigation; or keeping personal employment records you have a legal right to possess.</w:t>
      </w:r>
    </w:p>
    <w:p>
      <w:pPr>
        <w:spacing w:before="0" w:after="0" w:line="20" w:lineRule="exact"/>
        <w:sectPr w:rsidR="00FC693F" w:rsidRPr="0006063C" w:rsidSect="00034616">
          <w:footerReference w:type="default" r:id="rId23"/>
          <w:type w:val="nextPage"/>
          <w:headerReference w:type="default" r:id="rId9"/>
          <w:pgSz w:w="12240" w:h="15840"/>
          <w:pgMar w:top="1440" w:right="1440" w:bottom="1440" w:left="1440" w:header="706" w:footer="605" w:gutter="0"/>
          <w:cols w:space="720"/>
          <w:docGrid w:linePitch="360"/>
        </w:sectPr>
      </w:pPr>
    </w:p>
    <w:p>
      <w:pPr>
        <w:pStyle w:val="Heading1"/>
      </w:pPr>
      <w:r>
        <w:t>10. Technology, Security, and Responsible AI</w:t>
      </w:r>
    </w:p>
    <w:p>
      <w:pPr>
        <w:pStyle w:val="Heading2"/>
      </w:pPr>
      <w:r>
        <w:t>Accounts and devices</w:t>
      </w:r>
    </w:p>
    <w:p>
      <w:r>
        <w:t>Use approved accounts, devices, software, storage, and communication channels. Use strong unique passwords and required multi-factor authentication. Do not share passwords, recovery codes, access tokens, or accounts, and do not let another person use a Company account.</w:t>
      </w:r>
    </w:p>
    <w:p>
      <w:pPr>
        <w:pStyle w:val="Heading2"/>
      </w:pPr>
      <w:r>
        <w:t>Email, messaging, and phishing</w:t>
      </w:r>
    </w:p>
    <w:p>
      <w:r>
        <w:t>Check the recipient, link, attachment, and sensitivity of the information before sending. Be cautious with urgent payment requests, unexpected access prompts, and instructions to bypass normal approval. Verify sensitive requests through a known channel.</w:t>
      </w:r>
    </w:p>
    <w:p>
      <w:pPr>
        <w:pStyle w:val="Heading2"/>
      </w:pPr>
      <w:r>
        <w:t>Security incidents</w:t>
      </w:r>
    </w:p>
    <w:p>
      <w:r>
        <w:t>Immediately report lost or stolen equipment, suspicious login activity, malware, phishing, mistaken disclosure, unauthorized access, or an unexpected change to records or permissions. If needed to limit harm, disconnect the device from the network and wait for instructions before wiping or repairing it.</w:t>
      </w:r>
    </w:p>
    <w:p>
      <w:pPr>
        <w:pStyle w:val="Heading2"/>
      </w:pPr>
      <w:r>
        <w:t>Responsible use of AI and automation</w:t>
      </w:r>
    </w:p>
    <w:p>
      <w:r>
        <w:t>Use AI or automation only through tools, accounts, and purposes approved by the Company. Do not enter confidential, personal, client, financial, legal, tax, medical, credential, or proprietary information into an unapproved tool. Treat generated content as a draft: verify facts, sources, calculations, privacy, copyright, security, and decision authority before relying on or sharing it.</w:t>
      </w:r>
    </w:p>
    <w:p>
      <w:pPr>
        <w:pStyle w:val="Heading2"/>
      </w:pPr>
      <w:r>
        <w:t>Human responsibility</w:t>
      </w:r>
    </w:p>
    <w:p>
      <w:r>
        <w:t>The employee responsible for the work remains responsible for the result. Do not use automated output as the final basis for an employment, pay, discipline, safety, legal, credit, insurance, or other high-impact decision unless the Company has approved a lawful process with qualified human review.</w:t>
      </w:r>
    </w:p>
    <w:p>
      <w:pPr>
        <w:spacing w:before="0" w:after="0" w:line="20" w:lineRule="exact"/>
        <w:sectPr w:rsidR="00FC693F" w:rsidRPr="0006063C" w:rsidSect="00034616">
          <w:footerReference w:type="default" r:id="rId24"/>
          <w:type w:val="nextPage"/>
          <w:headerReference w:type="default" r:id="rId9"/>
          <w:pgSz w:w="12240" w:h="15840"/>
          <w:pgMar w:top="1440" w:right="1440" w:bottom="1440" w:left="1440" w:header="706" w:footer="605" w:gutter="0"/>
          <w:cols w:space="720"/>
          <w:docGrid w:linePitch="360"/>
        </w:sectPr>
      </w:pPr>
    </w:p>
    <w:p>
      <w:pPr>
        <w:pStyle w:val="Heading1"/>
      </w:pPr>
      <w:r>
        <w:t>11. Safety, Driving, and Workplace Violence</w:t>
      </w:r>
    </w:p>
    <w:p>
      <w:pPr>
        <w:pStyle w:val="Heading2"/>
      </w:pPr>
      <w:r>
        <w:t>Safety first</w:t>
      </w:r>
    </w:p>
    <w:p>
      <w:r>
        <w:t>Follow the safety plan, emergency procedures, ergonomic guidance, and role-specific instructions provided for your work. Report an injury, illness, hazard, threat, near miss, vehicle incident, property loss, or unsafe condition promptly. Call emergency services first when immediate danger exists.</w:t>
      </w:r>
    </w:p>
    <w:p>
      <w:pPr>
        <w:pStyle w:val="Heading2"/>
      </w:pPr>
      <w:r>
        <w:t>Workplace violence</w:t>
      </w:r>
    </w:p>
    <w:p>
      <w:r>
        <w:t>The Company does not tolerate threats, intimidation, stalking, fighting, or other violent conduct. Do not put yourself in danger to investigate or intervene. Move to safety, contact emergency services when needed, and notify the designated Company contact.</w:t>
      </w:r>
    </w:p>
    <w:p>
      <w:pPr>
        <w:pStyle w:val="Heading2"/>
      </w:pPr>
      <w:r>
        <w:t>Impairment</w:t>
      </w:r>
    </w:p>
    <w:p>
      <w:r>
        <w:t>Do not work, drive, supervise, or perform safety-sensitive duties when alcohol, cannabis, illegal drugs, medication, fatigue, or another condition creates a safety or performance risk. Lawful medication and disability-related needs should be handled through the confidential accommodation process.</w:t>
      </w:r>
    </w:p>
    <w:p>
      <w:pPr>
        <w:pStyle w:val="Heading2"/>
      </w:pPr>
      <w:r>
        <w:t>Driving for work</w:t>
      </w:r>
    </w:p>
    <w:p>
      <w:r>
        <w:t>Employees who drive for work must have required authorization, a valid license, and any required insurance. Wear seat belts, obey traffic laws, and do not use a handheld device while driving. Report collisions, vehicle damage, or a change that may affect driving eligibility promptly.</w:t>
      </w:r>
    </w:p>
    <w:p>
      <w:pPr>
        <w:pStyle w:val="Heading2"/>
      </w:pPr>
      <w:r>
        <w:t>Workers’ compensation and medical help</w:t>
      </w:r>
    </w:p>
    <w:p>
      <w:r>
        <w:t>Report work-related injuries and illnesses promptly, even if they seem minor. The Company will provide the reporting and medical-care instructions that apply to the employee’s work location. Reporting an injury in good faith will not lead to retaliation.</w:t>
      </w:r>
    </w:p>
    <w:p>
      <w:pPr>
        <w:spacing w:before="0" w:after="0" w:line="20" w:lineRule="exact"/>
        <w:sectPr w:rsidR="00FC693F" w:rsidRPr="0006063C" w:rsidSect="00034616">
          <w:footerReference w:type="default" r:id="rId25"/>
          <w:type w:val="nextPage"/>
          <w:headerReference w:type="default" r:id="rId9"/>
          <w:pgSz w:w="12240" w:h="15840"/>
          <w:pgMar w:top="1440" w:right="1440" w:bottom="1440" w:left="1440" w:header="706" w:footer="605" w:gutter="0"/>
          <w:cols w:space="720"/>
          <w:docGrid w:linePitch="360"/>
        </w:sectPr>
      </w:pPr>
    </w:p>
    <w:p>
      <w:pPr>
        <w:pStyle w:val="Heading1"/>
      </w:pPr>
      <w:r>
        <w:t>12. Performance, Training, and Communication</w:t>
      </w:r>
    </w:p>
    <w:p>
      <w:pPr>
        <w:pStyle w:val="Heading2"/>
      </w:pPr>
      <w:r>
        <w:t>Clear expectations</w:t>
      </w:r>
    </w:p>
    <w:p>
      <w:r>
        <w:t>Your manager should explain the expected result, priority, due date, quality standard, and decision authority for assigned work. Ask early when those points are unclear. Keep status honest and raise a risk before it becomes a surprise.</w:t>
      </w:r>
    </w:p>
    <w:p>
      <w:pPr>
        <w:pStyle w:val="Heading2"/>
      </w:pPr>
      <w:r>
        <w:t>Feedback and corrective action</w:t>
      </w:r>
    </w:p>
    <w:p>
      <w:r>
        <w:t>Expect direct feedback and regular check-ins. You may ask for context, explain relevant facts, and request the resources needed to improve. Depending on the situation, the Company may use coaching, training, reassignment, a written warning, suspension, or separation. The Company does not promise a fixed sequence, and it will respect applicable law.</w:t>
      </w:r>
    </w:p>
    <w:p>
      <w:pPr>
        <w:pStyle w:val="Heading2"/>
      </w:pPr>
      <w:r>
        <w:t>Training</w:t>
      </w:r>
    </w:p>
    <w:p>
      <w:r>
        <w:t>Complete required training carefully and on time. Required training, setup, and assigned research are work. Nonexempt employees must record that time. Do not enroll in a paid course or buy tools without approval.</w:t>
      </w:r>
    </w:p>
    <w:p>
      <w:pPr>
        <w:pStyle w:val="Heading2"/>
      </w:pPr>
      <w:r>
        <w:t>How we communicate</w:t>
      </w:r>
    </w:p>
    <w:p>
      <w:r>
        <w:t>Use the agreed channel and put important decisions where the team can find them. A useful update says what is complete, what is still open, what may affect timing or quality, and who owns the next step. Keep messages direct, respectful, and as brief as the subject allows.</w:t>
      </w:r>
    </w:p>
    <w:p>
      <w:pPr>
        <w:pStyle w:val="Heading2"/>
      </w:pPr>
      <w:r>
        <w:t>Public statements and social media</w:t>
      </w:r>
    </w:p>
    <w:p>
      <w:r>
        <w:t>Only an authorized spokesperson may speak for the Company or a client, respond to media, publish official content, or use a business account or logo. Personal social media must not disclose confidential information, harass others, or imply Company endorsement. This rule does not restrict lawful protected activity.</w:t>
      </w:r>
    </w:p>
    <w:p>
      <w:pPr>
        <w:spacing w:before="0" w:after="0" w:line="20" w:lineRule="exact"/>
        <w:sectPr w:rsidR="00FC693F" w:rsidRPr="0006063C" w:rsidSect="00034616">
          <w:footerReference w:type="default" r:id="rId26"/>
          <w:type w:val="nextPage"/>
          <w:headerReference w:type="default" r:id="rId9"/>
          <w:pgSz w:w="12240" w:h="15840"/>
          <w:pgMar w:top="1440" w:right="1440" w:bottom="1440" w:left="1440" w:header="706" w:footer="605" w:gutter="0"/>
          <w:cols w:space="720"/>
          <w:docGrid w:linePitch="360"/>
        </w:sectPr>
      </w:pPr>
    </w:p>
    <w:p>
      <w:pPr>
        <w:pStyle w:val="Heading1"/>
      </w:pPr>
      <w:r>
        <w:t>13. Company Property and Business Records</w:t>
      </w:r>
    </w:p>
    <w:p>
      <w:pPr>
        <w:pStyle w:val="Heading2"/>
      </w:pPr>
      <w:r>
        <w:t>Company property</w:t>
      </w:r>
    </w:p>
    <w:p>
      <w:r>
        <w:t>Protect devices, keys, cards, equipment, accounts, records, and funds assigned to you. Report loss or damage promptly. Do not sell, loan, wipe, discard, or arrange an unapproved repair. Return property when requested, when duties change, or when employment ends.</w:t>
      </w:r>
    </w:p>
    <w:p>
      <w:pPr>
        <w:pStyle w:val="Heading2"/>
      </w:pPr>
      <w:r>
        <w:t>Accurate records</w:t>
      </w:r>
    </w:p>
    <w:p>
      <w:r>
        <w:t>Create complete and truthful business records. Preserve the original source and do not backdate, conceal, alter, or destroy a record to mislead. Follow retention instructions, litigation holds, audit requests, and lawful directions from an authorized records contact.</w:t>
      </w:r>
    </w:p>
    <w:p>
      <w:pPr>
        <w:pStyle w:val="Heading2"/>
      </w:pPr>
      <w:r>
        <w:t>Keeping work available</w:t>
      </w:r>
    </w:p>
    <w:p>
      <w:r>
        <w:t>Store current work in the approved shared location, not only on a personal device or private message. Document important decisions and make a clear handoff before planned time away. During a disruption, protect people first, preserve records, and follow the designated communication path.</w:t>
      </w:r>
    </w:p>
    <w:p>
      <w:pPr>
        <w:pStyle w:val="Heading2"/>
      </w:pPr>
      <w:r>
        <w:t>Monitoring and privacy</w:t>
      </w:r>
    </w:p>
    <w:p>
      <w:r>
        <w:t>The Company systems and business records belong to the Company or the applicable client or business. The Company may access, review, preserve, or disclose them for legitimate business, security, legal, or compliance reasons as permitted by law and written notice. Employees should not expect personal privacy in company systems beyond what applicable law provides.</w:t>
      </w:r>
    </w:p>
    <w:p>
      <w:pPr>
        <w:spacing w:before="0" w:after="0" w:line="20" w:lineRule="exact"/>
        <w:sectPr w:rsidR="00FC693F" w:rsidRPr="0006063C" w:rsidSect="00034616">
          <w:footerReference w:type="default" r:id="rId27"/>
          <w:type w:val="nextPage"/>
          <w:headerReference w:type="default" r:id="rId9"/>
          <w:pgSz w:w="12240" w:h="15840"/>
          <w:pgMar w:top="1440" w:right="1440" w:bottom="1440" w:left="1440" w:header="706" w:footer="605" w:gutter="0"/>
          <w:cols w:space="720"/>
          <w:docGrid w:linePitch="360"/>
        </w:sectPr>
      </w:pPr>
    </w:p>
    <w:p>
      <w:pPr>
        <w:pStyle w:val="Heading1"/>
      </w:pPr>
      <w:r>
        <w:t>14. Leaving the Company</w:t>
      </w:r>
    </w:p>
    <w:p>
      <w:pPr>
        <w:pStyle w:val="Heading2"/>
      </w:pPr>
      <w:r>
        <w:t>Resignation</w:t>
      </w:r>
    </w:p>
    <w:p>
      <w:r>
        <w:t>If you decide to resign, written notice helps support a smooth handoff. Follow the applicable written employment terms. Tell your manager and the people contact. Do not make promises to clients or coworkers about your replacement or last day without confirmation.</w:t>
      </w:r>
    </w:p>
    <w:p>
      <w:pPr>
        <w:pStyle w:val="Heading2"/>
      </w:pPr>
      <w:r>
        <w:t>Final work and handoff</w:t>
      </w:r>
    </w:p>
    <w:p>
      <w:r>
        <w:t>Finish or clearly hand off active work, preserve business records, return property, and stop using the Company accounts when instructed. Do not delete, copy, forward, or keep confidential information except for personal employment records you have a lawful right to possess.</w:t>
      </w:r>
    </w:p>
    <w:p>
      <w:pPr>
        <w:pStyle w:val="Heading2"/>
      </w:pPr>
      <w:r>
        <w:t>Final pay, benefits, and notices</w:t>
      </w:r>
    </w:p>
    <w:p>
      <w:r>
        <w:t>The Company will address final wages, expense reimbursement, benefits information, required notices, and access according to the circumstances and applicable law. Ask the people contact if your address or delivery information has changed.</w:t>
      </w:r>
    </w:p>
    <w:p>
      <w:pPr>
        <w:pStyle w:val="Heading2"/>
      </w:pPr>
      <w:r>
        <w:t>Continuing responsibilities</w:t>
      </w:r>
    </w:p>
    <w:p>
      <w:r>
        <w:t>Confidentiality, privacy, records, intellectual-property, and other obligations that lawfully continue after employment remain in effect. Nothing prevents protected reporting, lawful competition, protected concerted activity, or another right that cannot legally be waived.</w:t>
      </w:r>
    </w:p>
    <w:p>
      <w:pPr>
        <w:pStyle w:val="Heading2"/>
      </w:pPr>
      <w:r>
        <w:t>Employment verification and references</w:t>
      </w:r>
    </w:p>
    <w:p>
      <w:r>
        <w:t>Send official verification, reference, subpoena, agency, legal, or media requests to the designated Company contact. Employees should not provide an official response for the Company unless specifically authorized.</w:t>
      </w:r>
    </w:p>
    <w:p>
      <w:pPr>
        <w:spacing w:before="0" w:after="0" w:line="20" w:lineRule="exact"/>
        <w:sectPr w:rsidR="00FC693F" w:rsidRPr="0006063C" w:rsidSect="00034616">
          <w:footerReference w:type="default" r:id="rId28"/>
          <w:type w:val="nextPage"/>
          <w:headerReference w:type="default" r:id="rId9"/>
          <w:pgSz w:w="12240" w:h="15840"/>
          <w:pgMar w:top="1440" w:right="1440" w:bottom="1440" w:left="1440" w:header="706" w:footer="605" w:gutter="0"/>
          <w:cols w:space="720"/>
          <w:docGrid w:linePitch="360"/>
        </w:sectPr>
      </w:pPr>
    </w:p>
    <w:p>
      <w:pPr>
        <w:pStyle w:val="Heading1"/>
      </w:pPr>
      <w:r>
        <w:t>15. Questions, Changes, and Acknowledgment</w:t>
      </w:r>
    </w:p>
    <w:p>
      <w:pPr>
        <w:pStyle w:val="Heading2"/>
      </w:pPr>
      <w:r>
        <w:t>Questions</w:t>
      </w:r>
    </w:p>
    <w:p>
      <w:r>
        <w:t>Ask your manager or the people contact about a policy, pay, leave, accommodation, safety, privacy, security, or workplace concern. If that person is involved in the concern, use the alternate reporting contact or an appropriate outside resource.</w:t>
      </w:r>
    </w:p>
    <w:p>
      <w:pPr>
        <w:pStyle w:val="Heading2"/>
      </w:pPr>
      <w:r>
        <w:t>Policy changes</w:t>
      </w:r>
    </w:p>
    <w:p>
      <w:r>
        <w:t>The Company may revise, suspend, or replace policies in writing, subject to applicable law. Employees will receive the current handbook and any location- or role-specific supplement that applies. A manager’s comment or past practice does not change a written policy unless the Company issues the change through an authorized representative.</w:t>
      </w:r>
    </w:p>
    <w:p>
      <w:pPr>
        <w:pStyle w:val="Heading2"/>
      </w:pPr>
      <w:r>
        <w:t>Employee acknowledgment</w:t>
      </w:r>
    </w:p>
    <w:p>
      <w:r>
        <w:t>I acknowledge that I received the Systematic Business Operations Employee Handbook and had an opportunity to ask questions. I understand that I am responsible for reading and following the policies that apply to my work.</w:t>
      </w:r>
    </w:p>
    <w:p>
      <w:r>
        <w:t>I understand that this handbook is not an employment contract and does not promise employment for a specific period, schedule, location, pay, benefit or discipline process. The reviewed written offer and applicable law govern the terms concerning the duration or ending of employment.</w:t>
      </w:r>
    </w:p>
    <w:p>
      <w:r>
        <w:t>I understand that I may report concerns through the contacts provided by the Company, that I do not have to report to someone involved in the concern, and that the Company prohibits retaliation for good-faith reporting or protected activity.</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name</w:t>
            </w:r>
          </w:p>
        </w:tc>
        <w:tc>
          <w:tcPr>
            <w:tcW w:type="dxa" w:w="6460"/>
            <w:tcBorders>
              <w:bottom w:val="single" w:sz="5" w:color="AFC1D4"/>
            </w:tcBorders>
          </w:tcPr>
          <w:p>
            <w:pPr>
              <w:spacing w:after="0" w:line="252" w:lineRule="auto"/>
            </w:pPr>
            <w:r/>
            <w:sdt>
              <w:sdtPr>
                <w:tag w:val="ACK_EMPLOYEE_NAME"/>
                <w:alias w:val="ACK_EMPLOYEE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Employee signature</w:t>
            </w:r>
          </w:p>
        </w:tc>
        <w:tc>
          <w:tcPr>
            <w:tcW w:type="dxa" w:w="6460"/>
            <w:tcBorders>
              <w:bottom w:val="single" w:sz="5" w:color="AFC1D4"/>
            </w:tcBorders>
          </w:tcPr>
          <w:p>
            <w:pPr>
              <w:spacing w:after="0" w:line="252" w:lineRule="auto"/>
            </w:pPr>
            <w:r/>
            <w:sdt>
              <w:sdtPr>
                <w:tag w:val="ACK_EMPLOYEE_SIGNATURE"/>
                <w:alias w:val="ACK_EMPLOYEE_SIGNATUR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ACK_DATE"/>
                <w:alias w:val="ACK_D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Handbook effective date</w:t>
            </w:r>
          </w:p>
        </w:tc>
        <w:tc>
          <w:tcPr>
            <w:tcW w:type="dxa" w:w="6460"/>
            <w:tcBorders>
              <w:bottom w:val="single" w:sz="5" w:color="AFC1D4"/>
            </w:tcBorders>
          </w:tcPr>
          <w:p>
            <w:pPr>
              <w:spacing w:after="0" w:line="252" w:lineRule="auto"/>
            </w:pPr>
            <w:r/>
            <w:sdt>
              <w:sdtPr>
                <w:tag w:val="HANDBOOK_EFFECTIVE_DATE"/>
                <w:alias w:val="HANDBOOK_EFFECTIVE_DATE"/>
                <w:text/>
              </w:sdtPr>
              <w:sdtContent>
                <w:r>
                  <w:rPr>
                    <w:rFonts w:ascii="Calibri" w:hAnsi="Calibri"/>
                    <w:b w:val="0"/>
                    <w:i w:val="0"/>
                    <w:color w:val="202A35"/>
                    <w:sz w:val="20"/>
                  </w:rPr>
                  <w:t>________________________________</w:t>
                </w:r>
              </w:sdtContent>
            </w:sdt>
          </w:p>
        </w:tc>
      </w:tr>
    </w:tbl>
    <w:p>
      <w:pPr>
        <w:spacing w:after="0"/>
      </w:pPr>
    </w:p>
    <w:sectPr w:rsidR="00FC693F" w:rsidRPr="0006063C" w:rsidSect="00034616">
      <w:headerReference w:type="default" r:id="rId9"/>
      <w:footerReference w:type="default" r:id="rId29"/>
      <w:pgSz w:w="12240" w:h="15840"/>
      <w:pgMar w:top="1440" w:right="1440" w:bottom="1440" w:left="1440" w:header="706"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jc w:val="left"/>
      <w:tblLayout w:type="fixed"/>
      <w:tblLook w:firstColumn="1" w:firstRow="1" w:lastColumn="0" w:lastRow="0" w:noHBand="0" w:noVBand="1" w:val="04A0"/>
    </w:tblPr>
    <w:tblGrid>
      <w:gridCol w:w="6100"/>
      <w:gridCol w:w="3260"/>
    </w:tblGrid>
    <w:tr>
      <w:tc>
        <w:tcPr>
          <w:tcW w:type="dxa" w:w="6100"/>
          <w:tcMar>
            <w:top w:w="100" w:type="dxa"/>
            <w:bottom w:w="100" w:type="dxa"/>
            <w:start w:w="130" w:type="dxa"/>
            <w:end w:w="130" w:type="dxa"/>
          </w:tcMar>
          <w:vAlign w:val="center"/>
          <w:tcBorders>
            <w:bottom w:val="single" w:sz="8" w:color="2E74B5"/>
          </w:tcBorders>
        </w:tcPr>
        <w:p>
          <w:pPr>
            <w:spacing w:after="0" w:line="252" w:lineRule="auto"/>
          </w:pPr>
          <w:r>
            <w:rPr>
              <w:sz w:val="17"/>
            </w:rPr>
          </w:r>
          <w:r>
            <w:rPr>
              <w:rFonts w:ascii="Calibri" w:hAnsi="Calibri"/>
              <w:b/>
              <w:i w:val="0"/>
              <w:color w:val="142B4A"/>
              <w:sz w:val="17"/>
            </w:rPr>
            <w:t>Systematic Business Operations</w:t>
          </w:r>
        </w:p>
      </w:tc>
      <w:tc>
        <w:tcPr>
          <w:tcW w:type="dxa" w:w="3260"/>
          <w:tcMar>
            <w:top w:w="100" w:type="dxa"/>
            <w:bottom w:w="100" w:type="dxa"/>
            <w:start w:w="130" w:type="dxa"/>
            <w:end w:w="130" w:type="dxa"/>
          </w:tcMar>
          <w:vAlign w:val="center"/>
          <w:tcBorders>
            <w:bottom w:val="single" w:sz="8" w:color="2E74B5"/>
          </w:tcBorders>
        </w:tcPr>
        <w:p>
          <w:pPr>
            <w:spacing w:after="0" w:line="252" w:lineRule="auto"/>
            <w:jc w:val="right"/>
          </w:pPr>
          <w:r>
            <w:rPr>
              <w:sz w:val="17"/>
            </w:rPr>
          </w:r>
          <w:r>
            <w:rPr>
              <w:rFonts w:ascii="Calibri" w:hAnsi="Calibri"/>
              <w:b/>
              <w:i w:val="0"/>
              <w:color w:val="2E74B5"/>
              <w:sz w:val="17"/>
            </w:rPr>
            <w:t>EMPLOYEE HANDBOOK</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ind w:left="461" w:hanging="23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ind w:left="461" w:hanging="23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footer" Target="footer10.xml"/><Relationship Id="rId21" Type="http://schemas.openxmlformats.org/officeDocument/2006/relationships/footer" Target="footer11.xml"/><Relationship Id="rId22" Type="http://schemas.openxmlformats.org/officeDocument/2006/relationships/footer" Target="footer12.xml"/><Relationship Id="rId23" Type="http://schemas.openxmlformats.org/officeDocument/2006/relationships/footer" Target="footer13.xml"/><Relationship Id="rId24" Type="http://schemas.openxmlformats.org/officeDocument/2006/relationships/footer" Target="footer14.xml"/><Relationship Id="rId25" Type="http://schemas.openxmlformats.org/officeDocument/2006/relationships/footer" Target="footer15.xml"/><Relationship Id="rId26" Type="http://schemas.openxmlformats.org/officeDocument/2006/relationships/footer" Target="footer16.xml"/><Relationship Id="rId27" Type="http://schemas.openxmlformats.org/officeDocument/2006/relationships/footer" Target="footer17.xml"/><Relationship Id="rId28" Type="http://schemas.openxmlformats.org/officeDocument/2006/relationships/footer" Target="footer18.xml"/><Relationship Id="rId29"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Coulter Strategy Group LLC Employee Handbook</dc:title>
  <dc:subject>Employee-facing workplace policies and acknowledgment</dc:subject>
  <dc:creator>Systematic Business Operations</dc:creator>
  <cp:keywords>Coulter Strategy Group LLC, employee, workplace</cp:keywords>
  <dc:description/>
  <cp:lastModifiedBy/>
  <cp:revision>1</cp:revision>
  <dcterms:created xsi:type="dcterms:W3CDTF">2013-12-23T23:15:00Z</dcterms:created>
  <dcterms:modified xsi:type="dcterms:W3CDTF">2013-12-23T23:15:00Z</dcterms:modified>
  <cp:category/>
</cp:coreProperties>
</file>