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drawing>
          <wp:inline xmlns:a="http://schemas.openxmlformats.org/drawingml/2006/main" xmlns:pic="http://schemas.openxmlformats.org/drawingml/2006/picture">
            <wp:extent cx="1645920" cy="308532"/>
            <wp:docPr id="1" name="Picture 1"/>
            <wp:cNvGraphicFramePr>
              <a:graphicFrameLocks noChangeAspect="1"/>
            </wp:cNvGraphicFramePr>
            <a:graphic>
              <a:graphicData uri="http://schemas.openxmlformats.org/drawingml/2006/picture">
                <pic:pic>
                  <pic:nvPicPr>
                    <pic:cNvPr id="0" name="Systematic Business Operations logo.png"/>
                    <pic:cNvPicPr/>
                  </pic:nvPicPr>
                  <pic:blipFill>
                    <a:blip r:embed="rId10"/>
                    <a:srcRect l="2000" r="2000" t="29000" b="26000"/>
                    <a:stretch>
                      <a:fillRect/>
                    </a:stretch>
                  </pic:blipFill>
                  <pic:spPr>
                    <a:xfrm>
                      <a:off x="0" y="0"/>
                      <a:ext cx="1645920" cy="308532"/>
                    </a:xfrm>
                    <a:prstGeom prst="rect"/>
                  </pic:spPr>
                </pic:pic>
              </a:graphicData>
            </a:graphic>
          </wp:inline>
        </w:drawing>
      </w:r>
    </w:p>
    <w:p>
      <w:pPr>
        <w:pStyle w:val="Title"/>
        <w:spacing w:after="200"/>
      </w:pPr>
      <w:r>
        <w:t>Facility Storage and Property Access Authorization</w:t>
      </w:r>
    </w:p>
    <w:p>
      <w:pPr>
        <w:pStyle w:val="Subtitle"/>
      </w:pPr>
      <w:r>
        <w:t>Systematic Business Operations</w:t>
      </w:r>
    </w:p>
    <w:p>
      <w:r>
        <w:t>Editable adaptation draft • September 15, 2026 • Not adopted or executed</w:t>
      </w:r>
    </w:p>
    <w:p>
      <w:r>
        <w:t>Systematic Business Operations helps clients organize records, onboard bookkeeping work and follow through on an agreed service scope. Keep each client’s records and account permissions separate, with documented exceptions and a clear period closeout.</w:t>
      </w:r>
    </w:p>
    <w:p>
      <w:r>
        <w:t>In this draft, “Company” means Systematic Business Operations. Complete the Owner Setup and Tailoring Checklist before adoption or signing. California source provisions require an applicability check for the actual work locations. This draft does not establish employment, insurance or legal status.</w:t>
      </w:r>
    </w:p>
    <w:p>
      <w:pPr>
        <w:pStyle w:val="Heading1"/>
      </w:pPr>
      <w:r>
        <w:t>Authorization</w:t>
      </w:r>
    </w:p>
    <w:tbl>
      <w:tblPr>
        <w:tblStyle w:val="TableGrid"/>
        <w:tblW w:type="auto" w:w="0"/>
        <w:tblLook w:firstColumn="1" w:firstRow="1" w:lastColumn="0" w:lastRow="0" w:noHBand="0" w:noVBand="1" w:val="04A0"/>
      </w:tblPr>
      <w:tblGrid>
        <w:gridCol w:w="5112"/>
        <w:gridCol w:w="5112"/>
      </w:tblGrid>
      <w:tr>
        <w:trPr>
          <w:tblHeader/>
        </w:trPr>
        <w:tc>
          <w:tcPr>
            <w:tcW w:type="dxa" w:w="5112"/>
            <w:shd w:fill="E8EEF3"/>
            <w:tcBorders>
              <w:top w:val="single" w:sz="4" w:color="D9D9D9"/>
              <w:left w:val="single" w:sz="4" w:color="D9D9D9"/>
              <w:bottom w:val="single" w:sz="4" w:color="D9D9D9"/>
              <w:right w:val="single" w:sz="4" w:color="D9D9D9"/>
            </w:tcBorders>
          </w:tcPr>
          <w:p>
            <w:r>
              <w:rPr>
                <w:b/>
              </w:rPr>
              <w:t>Field</w:t>
            </w:r>
          </w:p>
        </w:tc>
        <w:tc>
          <w:tcPr>
            <w:tcW w:type="dxa" w:w="5112"/>
            <w:shd w:fill="E8EEF3"/>
            <w:tcBorders>
              <w:top w:val="single" w:sz="4" w:color="D9D9D9"/>
              <w:left w:val="single" w:sz="4" w:color="D9D9D9"/>
              <w:bottom w:val="single" w:sz="4" w:color="D9D9D9"/>
              <w:right w:val="single" w:sz="4" w:color="D9D9D9"/>
            </w:tcBorders>
          </w:tcPr>
          <w:p>
            <w:r>
              <w:rPr>
                <w:b/>
              </w:rPr>
              <w:t>Entry</w:t>
            </w:r>
          </w:p>
        </w:tc>
      </w:tr>
      <w:tr>
        <w:tc>
          <w:tcPr>
            <w:tcW w:type="dxa" w:w="5112"/>
            <w:tcBorders>
              <w:top w:val="single" w:sz="4" w:color="D9D9D9"/>
              <w:left w:val="single" w:sz="4" w:color="D9D9D9"/>
              <w:bottom w:val="single" w:sz="4" w:color="D9D9D9"/>
              <w:right w:val="single" w:sz="4" w:color="D9D9D9"/>
            </w:tcBorders>
          </w:tcPr>
          <w:p>
            <w:r>
              <w:t>Authorized person and relationship</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Location and specific area</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Business purpose</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Permitted dates and hours</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Keys/codes/devices issued</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Property permitted for storage</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Safety, insurance, and supervision requirements</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Return/end date</w:t>
            </w:r>
          </w:p>
        </w:tc>
        <w:tc>
          <w:tcPr>
            <w:tcW w:type="dxa" w:w="5112"/>
            <w:tcBorders>
              <w:top w:val="single" w:sz="4" w:color="D9D9D9"/>
              <w:left w:val="single" w:sz="4" w:color="D9D9D9"/>
              <w:bottom w:val="single" w:sz="4" w:color="D9D9D9"/>
              <w:right w:val="single" w:sz="4" w:color="D9D9D9"/>
            </w:tcBorders>
          </w:tcPr>
          <w:p>
            <w:r/>
          </w:p>
        </w:tc>
      </w:tr>
    </w:tbl>
    <w:p/>
    <w:p>
      <w:pPr>
        <w:pStyle w:val="Heading1"/>
      </w:pPr>
      <w:r>
        <w:t>Terms</w:t>
      </w:r>
    </w:p>
    <w:p>
      <w:r>
        <w:t>Access is limited to the location, time, purpose, people, and property listed above.</w:t>
      </w:r>
    </w:p>
    <w:p>
      <w:r>
        <w:t>The authorized person follows site safety, security, visitor, parking, environmental, and emergency procedures.</w:t>
      </w:r>
    </w:p>
    <w:p>
      <w:r>
        <w:t>Keys, codes, devices, and property remain secured and are returned on the stated end date.</w:t>
      </w:r>
    </w:p>
    <w:p>
      <w:r>
        <w:t>Damage, loss, injury, hazard, police contact, or unauthorized access is reported to the Manager immediately.</w:t>
      </w:r>
    </w:p>
    <w:p>
      <w:r>
        <w:t>The Manager records any change or cancellation in writing and updates the access register.</w:t>
      </w:r>
    </w:p>
    <w:p>
      <w:pPr>
        <w:pStyle w:val="Heading1"/>
        <w:keepNext/>
      </w:pPr>
      <w:r>
        <w:t>Signatures</w:t>
      </w:r>
    </w:p>
    <w:p>
      <w:pPr>
        <w:keepNext/>
      </w:pPr>
      <w:r>
        <w:t>Signature: ____________________________________    Date: __________________</w:t>
      </w:r>
    </w:p>
    <w:p>
      <w:pPr>
        <w:keepNext/>
      </w:pPr>
      <w:r>
        <w:t>Authorized person</w:t>
        <w:br/>
        <w:t>Name and relationship</w:t>
      </w:r>
    </w:p>
    <w:p>
      <w:pPr>
        <w:keepNext/>
      </w:pPr>
      <w:r>
        <w:t>Signature: ____________________________________    Date: __________________</w:t>
      </w:r>
    </w:p>
    <w:p>
      <w:pPr>
        <w:keepNext/>
      </w:pPr>
      <w:r>
        <w:t>[Authorized manager]</w:t>
        <w:br/>
        <w:t>Manager</w:t>
      </w:r>
    </w:p>
    <w:p>
      <w:pPr>
        <w:keepLines/>
      </w:pPr>
      <w:r>
        <w:rPr>
          <w:sz w:val="16"/>
        </w:rPr>
        <w:t>Source: CSG_Facility_Storage_and_Property_Access_Authorization.docx. Adapted from retained CSG work; original unchanged. See the owner checklist. This is not legal advice.</w:t>
      </w:r>
    </w:p>
    <w:sectPr w:rsidR="00FC693F" w:rsidRPr="0006063C" w:rsidSect="00034616">
      <w:footerReference w:type="default" r:id="rId9"/>
      <w:headerReference w:type="default" r:id="rId11"/>
      <w:pgSz w:w="12240" w:h="15840"/>
      <w:pgMar w:top="936" w:right="1008" w:bottom="864" w:left="1008" w:header="576"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tabs>
        <w:tab w:val="right" w:pos="10224"/>
      </w:tabs>
    </w:pPr>
    <w:r>
      <w:t>Adaptation draft | Not adopted</w:t>
      <w:tab/>
      <w:t xml:space="preserve">Page </w:t>
    </w:r>
    <w:fldSimple w:instr="PAGE">
      <w:r>
        <w:t>1</w:t>
      </w:r>
    </w:fldSimple>
    <w:r>
      <w:t xml:space="preserve"> of </w:t>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Systematic Business Operations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color w:val="202A3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Calibri" w:hAnsi="Calibri"/>
      <w:b/>
      <w:bCs/>
      <w:color w:val="2E74B5"/>
      <w:sz w:val="2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Calibri" w:hAnsi="Calibri"/>
      <w:b/>
      <w:color w:val="142B4A"/>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Theme="majorHAnsi" w:eastAsiaTheme="majorEastAsia" w:hAnsiTheme="majorHAnsi" w:cstheme="majorBidi" w:ascii="Calibri" w:hAnsi="Calibri"/>
      <w:b w:val="0"/>
      <w:i/>
      <w:iCs/>
      <w:color w:val="667085"/>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Facility Storage and Property Access Authorization</dc:title>
  <dc:subject/>
  <dc:creator>Systematic Business Operations</dc:creator>
  <cp:keywords/>
  <dc:description/>
  <cp:lastModifiedBy/>
  <cp:revision>1</cp:revision>
  <dcterms:created xsi:type="dcterms:W3CDTF">2013-12-23T23:15:00Z</dcterms:created>
  <dcterms:modified xsi:type="dcterms:W3CDTF">2013-12-23T23:15:00Z</dcterms:modified>
  <cp:category/>
</cp:coreProperties>
</file>