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474720" cy="651345"/>
            <wp:docPr id="1" name="Picture 1"/>
            <wp:cNvGraphicFramePr>
              <a:graphicFrameLocks noChangeAspect="1"/>
            </wp:cNvGraphicFramePr>
            <a:graphic>
              <a:graphicData uri="http://schemas.openxmlformats.org/drawingml/2006/picture">
                <pic:pic>
                  <pic:nvPicPr>
                    <pic:cNvPr id="0" name="Systematic Business Operations logo.png"/>
                    <pic:cNvPicPr/>
                  </pic:nvPicPr>
                  <pic:blipFill>
                    <a:blip r:embed="rId11"/>
                    <a:srcRect l="2000" r="2000" t="29000" b="26000"/>
                    <a:stretch>
                      <a:fillRect/>
                    </a:stretch>
                  </pic:blipFill>
                  <pic:spPr>
                    <a:xfrm>
                      <a:off x="0" y="0"/>
                      <a:ext cx="3474720" cy="651345"/>
                    </a:xfrm>
                    <a:prstGeom prst="rect"/>
                  </pic:spPr>
                </pic:pic>
              </a:graphicData>
            </a:graphic>
          </wp:inline>
        </w:drawing>
      </w:r>
    </w:p>
    <w:p>
      <w:pPr>
        <w:spacing w:before="1440"/>
      </w:pPr>
      <w:r>
        <w:rPr>
          <w:rFonts w:ascii="Aptos" w:hAnsi="Aptos"/>
          <w:b/>
          <w:color w:val="2E74B5"/>
          <w:sz w:val="22"/>
        </w:rPr>
        <w:t>Systematic Business Operations</w:t>
      </w:r>
    </w:p>
    <w:p>
      <w:pPr>
        <w:spacing w:before="240" w:after="160"/>
      </w:pPr>
      <w:r>
        <w:rPr>
          <w:rFonts w:ascii="Aptos Display" w:hAnsi="Aptos Display"/>
          <w:b/>
          <w:color w:val="17365D"/>
          <w:sz w:val="60"/>
        </w:rPr>
        <w:t>Operations Manual</w:t>
      </w:r>
    </w:p>
    <w:p>
      <w:pPr>
        <w:spacing w:after="600"/>
      </w:pPr>
      <w:r>
        <w:rPr>
          <w:rFonts w:ascii="Aptos Display" w:hAnsi="Aptos Display"/>
          <w:color w:val="5B6773"/>
          <w:sz w:val="28"/>
        </w:rPr>
        <w:t>Reusable internal procedures for controlled, evidence-based business operations</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REVIEW STATUS  Editable adaptation draft · Not adopted or executed. September 15, 2026. Complete the Owner Setup and Tailoring Checklist before issuance. This does not authorize external action, spending, access changes or commitments.</w:t>
            </w:r>
            <w:r>
              <w:rPr>
                <w:rFonts w:ascii="Aptos" w:hAnsi="Aptos"/>
                <w:color w:val="17212B"/>
                <w:sz w:val="19"/>
              </w:rPr>
              <w:t/>
            </w:r>
          </w:p>
        </w:tc>
      </w:tr>
    </w:tbl>
    <w:p>
      <w:pPr>
        <w:spacing w:after="20"/>
      </w:pP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00"/>
        <w:gridCol w:w="6960"/>
      </w:tblGrid>
      <w:tr>
        <w:trPr>
          <w:tblHeader w:val="true"/>
        </w:trPr>
        <w:tc>
          <w:tcPr>
            <w:tcW w:type="dxa" w:w="2400"/>
            <w:tcMar>
              <w:top w:w="100" w:type="dxa"/>
              <w:start w:w="120" w:type="dxa"/>
              <w:bottom w:w="100" w:type="dxa"/>
              <w:end w:w="120" w:type="dxa"/>
            </w:tcMar>
            <w:vAlign w:val="center"/>
            <w:shd w:fill="17365D"/>
          </w:tcPr>
          <w:p>
            <w:pPr>
              <w:spacing w:after="0"/>
              <w:ind w:left="0" w:firstLine="0"/>
            </w:pPr>
            <w:r>
              <w:rPr>
                <w:rFonts w:ascii="Aptos" w:hAnsi="Aptos"/>
                <w:b/>
                <w:color w:val="FFFFFF"/>
                <w:sz w:val="18"/>
              </w:rPr>
              <w:t>Control field</w:t>
            </w:r>
          </w:p>
        </w:tc>
        <w:tc>
          <w:tcPr>
            <w:tcW w:type="dxa" w:w="6960"/>
            <w:tcMar>
              <w:top w:w="100" w:type="dxa"/>
              <w:start w:w="120" w:type="dxa"/>
              <w:bottom w:w="100" w:type="dxa"/>
              <w:end w:w="120" w:type="dxa"/>
            </w:tcMar>
            <w:vAlign w:val="center"/>
            <w:shd w:fill="17365D"/>
          </w:tcPr>
          <w:p>
            <w:pPr>
              <w:spacing w:after="0"/>
              <w:ind w:left="0" w:firstLine="0"/>
            </w:pPr>
            <w:r>
              <w:rPr>
                <w:rFonts w:ascii="Aptos" w:hAnsi="Aptos"/>
                <w:b/>
                <w:color w:val="FFFFFF"/>
                <w:sz w:val="18"/>
              </w:rPr>
              <w:t>Current direction</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Document 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Systematic Business Operations / Owner or authorized decision maker</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Operational 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Assigned by workstream; every item has one accountable human owner</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Controlling source basis</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Adapted from the retained CSG operations master. Appendix C identifies included companion resources. Company approval remains pending.</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Applies to</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Proposed internal operations; customer and other-entity work only within separately approved scope</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Excluded</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Employee handbook, onboarding packet, compensation schedule, legal or tax conclusions, payroll setup, licensing determinations, insurance terms, and regulatory promises</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Review cycle</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At least annually and whenever authority, services, systems, risk, or professional requirements materially change</w:t>
            </w:r>
          </w:p>
        </w:tc>
      </w:tr>
    </w:tbl>
    <w:p>
      <w:pPr>
        <w:spacing w:after="0" w:line="20" w:lineRule="exact"/>
      </w:pPr>
      <w:r>
        <w:rPr>
          <w:rFonts w:ascii="Aptos" w:hAnsi="Aptos"/>
          <w:color w:val="FFFFFF"/>
          <w:sz w:val="2"/>
        </w:rPr>
        <w:t xml:space="preserve"> </w:t>
      </w:r>
    </w:p>
    <w:p>
      <w:pPr>
        <w:spacing w:before="440"/>
      </w:pPr>
      <w:r>
        <w:rPr>
          <w:rFonts w:ascii="Aptos" w:hAnsi="Aptos"/>
          <w:b/>
          <w:color w:val="9B1C1C"/>
          <w:sz w:val="19"/>
        </w:rPr>
        <w:t>OWNER / PROFESSIONAL REVIEW REQUIRED BEFORE ISSUANCE</w:t>
      </w:r>
    </w:p>
    <w:p>
      <w:r>
        <w:t xml:space="preserve">Not adopted or executed. Complete the Owner Setup and Tailoring Checklist before issue. The business name is not verification of the legal employer. No benefits, insurance, employment or policy adoption is established by this draft.</w:t>
      </w:r>
    </w:p>
    <w:p>
      <w:r>
        <w:br w:type="page"/>
      </w:r>
    </w:p>
    <w:p>
      <w:pPr>
        <w:pStyle w:val="Heading1"/>
        <w:pageBreakBefore/>
      </w:pPr>
      <w:r>
        <w:t>Navigation and Operating Index</w:t>
      </w:r>
    </w:p>
    <w:p>
      <w:pPr/>
      <w:r>
        <w:rPr>
          <w:rFonts w:ascii="Aptos" w:hAnsi="Aptos"/>
          <w:color w:val="17212B"/>
          <w:sz w:val="21"/>
        </w:rPr>
        <w:t>This page routes the reader to the smallest useful procedure. Start with the job in the left column; use the named section and return the required output to the controlling work record.</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850"/>
        <w:gridCol w:w="1450"/>
        <w:gridCol w:w="5060"/>
      </w:tblGrid>
      <w:tr>
        <w:trPr>
          <w:tblHeader w:val="true"/>
        </w:trPr>
        <w:tc>
          <w:tcPr>
            <w:tcW w:type="dxa" w:w="2850"/>
            <w:tcMar>
              <w:top w:w="100" w:type="dxa"/>
              <w:start w:w="120" w:type="dxa"/>
              <w:bottom w:w="100" w:type="dxa"/>
              <w:end w:w="120" w:type="dxa"/>
            </w:tcMar>
            <w:vAlign w:val="center"/>
            <w:shd w:fill="17365D"/>
          </w:tcPr>
          <w:p>
            <w:pPr>
              <w:spacing w:after="0"/>
              <w:ind w:left="0" w:firstLine="0"/>
            </w:pPr>
            <w:r>
              <w:rPr>
                <w:rFonts w:ascii="Aptos" w:hAnsi="Aptos"/>
                <w:b/>
                <w:color w:val="FFFFFF"/>
                <w:sz w:val="16"/>
              </w:rPr>
              <w:t>Operational job</w:t>
            </w:r>
          </w:p>
        </w:tc>
        <w:tc>
          <w:tcPr>
            <w:tcW w:type="dxa" w:w="1450"/>
            <w:tcMar>
              <w:top w:w="100" w:type="dxa"/>
              <w:start w:w="120" w:type="dxa"/>
              <w:bottom w:w="100" w:type="dxa"/>
              <w:end w:w="120" w:type="dxa"/>
            </w:tcMar>
            <w:vAlign w:val="center"/>
            <w:shd w:fill="17365D"/>
          </w:tcPr>
          <w:p>
            <w:pPr>
              <w:spacing w:after="0"/>
              <w:ind w:left="0" w:firstLine="0"/>
            </w:pPr>
            <w:r>
              <w:rPr>
                <w:rFonts w:ascii="Aptos" w:hAnsi="Aptos"/>
                <w:b/>
                <w:color w:val="FFFFFF"/>
                <w:sz w:val="16"/>
              </w:rPr>
              <w:t>Use</w:t>
            </w:r>
          </w:p>
        </w:tc>
        <w:tc>
          <w:tcPr>
            <w:tcW w:type="dxa" w:w="5060"/>
            <w:tcMar>
              <w:top w:w="100" w:type="dxa"/>
              <w:start w:w="120" w:type="dxa"/>
              <w:bottom w:w="100" w:type="dxa"/>
              <w:end w:w="120" w:type="dxa"/>
            </w:tcMar>
            <w:vAlign w:val="center"/>
            <w:shd w:fill="17365D"/>
          </w:tcPr>
          <w:p>
            <w:pPr>
              <w:spacing w:after="0"/>
              <w:ind w:left="0" w:firstLine="0"/>
            </w:pPr>
            <w:r>
              <w:rPr>
                <w:rFonts w:ascii="Aptos" w:hAnsi="Aptos"/>
                <w:b/>
                <w:color w:val="FFFFFF"/>
                <w:sz w:val="16"/>
              </w:rPr>
              <w:t>Required output</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Start or diagnose work</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Quick Start; §§1, 4</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Work brief with outcome, entity, owner, source, completion test, decision window, and next action</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Determine who may decide</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§2</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Named approver and an approval packet sized to the action</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Protect entity or client separation</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§3</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Entity/conflict screen and separated records, funds, accounts, and commitments</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Prepare and review a deliverable</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§5; §14</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One review candidate, actual-use QA, and documented discrepancy status</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Run the week or hand off work</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§6</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Control-board status, daily close, proof return, and next action</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Find, create, or retire a record</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§7; §8</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Controlling source, correct classification, access state, lineage, and proof location</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Prepare a purchase or payment</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§9</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Exact owner-ready approval packet; no release of funds before approval</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Contact, serve, send, or publish</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§10</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Exact final content, sender/entity, recipients/destination, attachments, and approval</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Create or change system access</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§11</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Current-state inventory, approved target state, recovery/rollback, and provider readback</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Issue, support, or recover equipment</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§12</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Restricted asset record and verified custody stage</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Handle an incident or exception</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§13</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Safety/containment, preserved evidence, owner decision, corrective action, and closure proof</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Change a recurring procedure</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§15; Appendix B</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One tested review candidate, downstream impact review, owner/professional approval, and release record</w:t>
            </w:r>
          </w:p>
        </w:tc>
      </w:tr>
    </w:tbl>
    <w:p>
      <w:pPr>
        <w:spacing w:after="0" w:line="20" w:lineRule="exact"/>
      </w:pPr>
      <w:r>
        <w:rPr>
          <w:rFonts w:ascii="Aptos" w:hAnsi="Aptos"/>
          <w:color w:val="FFFFFF"/>
          <w:sz w:val="2"/>
        </w:rPr>
        <w:t xml:space="preserve"> </w:t>
      </w:r>
    </w:p>
    <w:tbl>
      <w:tblPr>
        <w:tblW w:type="dxa" w:w="9360"/>
        <w:jc w:val="left"/>
        <w:tblLayout w:type="fixed"/>
        <w:tblLook w:firstColumn="1" w:firstRow="1" w:lastColumn="0" w:lastRow="0" w:noHBand="0" w:noVBand="1" w:val="04A0"/>
        <w:tblInd w:w="12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Pr>
      <w:tblGrid>
        <w:gridCol w:w="9360"/>
      </w:tblGrid>
      <w:tr>
        <w:trPr>
          <w:tblHeader w:val="true"/>
        </w:trPr>
        <w:tc>
          <w:tcPr>
            <w:tcW w:type="dxa" w:w="9360"/>
            <w:tcMar>
              <w:top w:w="130" w:type="dxa"/>
              <w:start w:w="180" w:type="dxa"/>
              <w:bottom w:w="130" w:type="dxa"/>
              <w:end w:w="180" w:type="dxa"/>
            </w:tcMar>
            <w:vAlign w:val="center"/>
            <w:shd w:fill="E8EEF5"/>
          </w:tcPr>
          <w:p>
            <w:pPr>
              <w:spacing w:after="0"/>
            </w:pPr>
            <w:r>
              <w:rPr>
                <w:rFonts w:ascii="Aptos" w:hAnsi="Aptos"/>
                <w:b/>
                <w:color w:val="17365D"/>
                <w:sz w:val="19"/>
              </w:rPr>
              <w:t xml:space="preserve">FAST RULE  </w:t>
            </w:r>
            <w:r>
              <w:rPr>
                <w:rFonts w:ascii="Aptos" w:hAnsi="Aptos"/>
                <w:color w:val="17212B"/>
                <w:sz w:val="19"/>
              </w:rPr>
              <w:t>If the reader cannot identify the outcome, entity, owner, controlling source, and completion test in under two minutes, the item is not ready to enter active work.</w:t>
            </w:r>
          </w:p>
        </w:tc>
      </w:tr>
    </w:tbl>
    <w:p>
      <w:pPr>
        <w:spacing w:after="20"/>
      </w:pPr>
    </w:p>
    <w:p>
      <w:pPr>
        <w:pStyle w:val="Heading1"/>
        <w:pageBreakBefore/>
      </w:pPr>
      <w:r>
        <w:t>Quick Start</w:t>
      </w:r>
    </w:p>
    <w:p>
      <w:pPr/>
      <w:r>
        <w:rPr>
          <w:rFonts w:ascii="Aptos" w:hAnsi="Aptos"/>
          <w:color w:val="17212B"/>
          <w:sz w:val="21"/>
        </w:rPr>
        <w:t>Use this manual to organize internal work, preserve entity separation, and move a task from request to verified completion. It governs the procedure for doing work; it does not replace an executed agreement, employee-facing policy, specialist advice, or the owner’s approval for consequential action.</w:t>
      </w:r>
    </w:p>
    <w:tbl>
      <w:tblPr>
        <w:tblW w:type="dxa" w:w="9360"/>
        <w:jc w:val="left"/>
        <w:tblLayout w:type="fixed"/>
        <w:tblLook w:firstColumn="1" w:firstRow="1" w:lastColumn="0" w:lastRow="0" w:noHBand="0" w:noVBand="1" w:val="04A0"/>
        <w:tblInd w:w="12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Pr>
      <w:tblGrid>
        <w:gridCol w:w="9360"/>
      </w:tblGrid>
      <w:tr>
        <w:trPr>
          <w:tblHeader w:val="true"/>
        </w:trPr>
        <w:tc>
          <w:tcPr>
            <w:tcW w:type="dxa" w:w="9360"/>
            <w:tcMar>
              <w:top w:w="130" w:type="dxa"/>
              <w:start w:w="180" w:type="dxa"/>
              <w:bottom w:w="130" w:type="dxa"/>
              <w:end w:w="180" w:type="dxa"/>
            </w:tcMar>
            <w:vAlign w:val="center"/>
            <w:shd w:fill="E8EEF5"/>
          </w:tcPr>
          <w:p>
            <w:pPr>
              <w:spacing w:after="0"/>
            </w:pPr>
            <w:r>
              <w:rPr>
                <w:rFonts w:ascii="Aptos" w:hAnsi="Aptos"/>
                <w:b/>
                <w:color w:val="17365D"/>
                <w:sz w:val="19"/>
              </w:rPr>
              <w:t xml:space="preserve">THE OPERATING RULE  </w:t>
            </w:r>
            <w:r>
              <w:rPr>
                <w:rFonts w:ascii="Aptos" w:hAnsi="Aptos"/>
                <w:color w:val="17212B"/>
                <w:sz w:val="19"/>
              </w:rPr>
              <w:t>One outcome. One accountable owner. One controlling source. One completion test. Prior versions remain history and do not compete with the current source.</w:t>
            </w:r>
          </w:p>
        </w:tc>
      </w:tr>
    </w:tbl>
    <w:p>
      <w:pPr>
        <w:spacing w:after="20"/>
      </w:pPr>
    </w:p>
    <w:p>
      <w:pPr>
        <w:pStyle w:val="Heading2"/>
      </w:pPr>
      <w:r>
        <w:t>Eight-step operating path</w:t>
      </w:r>
    </w:p>
    <w:p>
      <w:pPr>
        <w:spacing w:after="40" w:line="240" w:lineRule="auto"/>
        <w:numPr>
          <w:ilvl w:val="0"/>
          <w:numId w:val="10"/>
        </w:numPr>
      </w:pPr>
      <w:r>
        <w:rPr>
          <w:rFonts w:ascii="Aptos" w:hAnsi="Aptos"/>
          <w:color w:val="17212B"/>
          <w:sz w:val="20"/>
        </w:rPr>
        <w:t>Capture the request and define the concrete outcome.</w:t>
      </w:r>
    </w:p>
    <w:p>
      <w:pPr>
        <w:spacing w:after="40" w:line="240" w:lineRule="auto"/>
        <w:numPr>
          <w:ilvl w:val="0"/>
          <w:numId w:val="10"/>
        </w:numPr>
      </w:pPr>
      <w:r>
        <w:rPr>
          <w:rFonts w:ascii="Aptos" w:hAnsi="Aptos"/>
          <w:color w:val="17212B"/>
          <w:sz w:val="20"/>
        </w:rPr>
        <w:t>Identify the accountable entity, human owner, decision-maker, and affected records.</w:t>
      </w:r>
    </w:p>
    <w:p>
      <w:pPr>
        <w:spacing w:after="40" w:line="240" w:lineRule="auto"/>
        <w:numPr>
          <w:ilvl w:val="0"/>
          <w:numId w:val="10"/>
        </w:numPr>
      </w:pPr>
      <w:r>
        <w:rPr>
          <w:rFonts w:ascii="Aptos" w:hAnsi="Aptos"/>
          <w:color w:val="17212B"/>
          <w:sz w:val="20"/>
        </w:rPr>
        <w:t>Locate the controlling source and classify its status and access state.</w:t>
      </w:r>
    </w:p>
    <w:p>
      <w:pPr>
        <w:spacing w:after="40" w:line="240" w:lineRule="auto"/>
        <w:numPr>
          <w:ilvl w:val="0"/>
          <w:numId w:val="10"/>
        </w:numPr>
      </w:pPr>
      <w:r>
        <w:rPr>
          <w:rFonts w:ascii="Aptos" w:hAnsi="Aptos"/>
          <w:color w:val="17212B"/>
          <w:sz w:val="20"/>
        </w:rPr>
        <w:t>Screen dependencies, conflicts, risk, and any owner or professional-review gate.</w:t>
      </w:r>
    </w:p>
    <w:p>
      <w:pPr>
        <w:spacing w:after="40" w:line="240" w:lineRule="auto"/>
        <w:numPr>
          <w:ilvl w:val="0"/>
          <w:numId w:val="10"/>
        </w:numPr>
      </w:pPr>
      <w:r>
        <w:rPr>
          <w:rFonts w:ascii="Aptos" w:hAnsi="Aptos"/>
          <w:color w:val="17212B"/>
          <w:sz w:val="20"/>
        </w:rPr>
        <w:t>Complete safe, reversible preparation using the smallest reliable process.</w:t>
      </w:r>
    </w:p>
    <w:p>
      <w:pPr>
        <w:spacing w:after="40" w:line="240" w:lineRule="auto"/>
        <w:numPr>
          <w:ilvl w:val="0"/>
          <w:numId w:val="10"/>
        </w:numPr>
      </w:pPr>
      <w:r>
        <w:rPr>
          <w:rFonts w:ascii="Aptos" w:hAnsi="Aptos"/>
          <w:color w:val="17212B"/>
          <w:sz w:val="20"/>
        </w:rPr>
        <w:t>Review the candidate in the form in which it will actually be used.</w:t>
      </w:r>
    </w:p>
    <w:p>
      <w:pPr>
        <w:spacing w:after="40" w:line="240" w:lineRule="auto"/>
        <w:numPr>
          <w:ilvl w:val="0"/>
          <w:numId w:val="10"/>
        </w:numPr>
      </w:pPr>
      <w:r>
        <w:rPr>
          <w:rFonts w:ascii="Aptos" w:hAnsi="Aptos"/>
          <w:color w:val="17212B"/>
          <w:sz w:val="20"/>
        </w:rPr>
        <w:t>Obtain approval immediately before any consequential action.</w:t>
      </w:r>
    </w:p>
    <w:p>
      <w:pPr>
        <w:spacing w:after="40" w:line="240" w:lineRule="auto"/>
        <w:numPr>
          <w:ilvl w:val="0"/>
          <w:numId w:val="10"/>
        </w:numPr>
      </w:pPr>
      <w:r>
        <w:rPr>
          <w:rFonts w:ascii="Aptos" w:hAnsi="Aptos"/>
          <w:color w:val="17212B"/>
          <w:sz w:val="20"/>
        </w:rPr>
        <w:t>Verify the result against objective evidence and update the controlling record.</w:t>
      </w:r>
    </w:p>
    <w:p>
      <w:pPr>
        <w:pStyle w:val="Heading2"/>
      </w:pPr>
      <w:r>
        <w:t>Stop points</w:t>
      </w:r>
    </w:p>
    <w:p>
      <w:pPr/>
      <w:r>
        <w:rPr>
          <w:rFonts w:ascii="Aptos" w:hAnsi="Aptos"/>
          <w:color w:val="17212B"/>
          <w:sz w:val="21"/>
        </w:rPr>
        <w:t>Pause immediately before any action that would spend money, create or cancel a subscription, send or publish a communication, file or submit, sign or accept a commitment, permanently delete material records, change credentials or access, change providers or ownership, or activate payments, reservations, forms, analytics, or personal-data collection.</w:t>
      </w:r>
    </w:p>
    <w:tbl>
      <w:tblPr>
        <w:tblW w:type="dxa" w:w="9360"/>
        <w:jc w:val="left"/>
        <w:tblLayout w:type="fixed"/>
        <w:tblLook w:firstColumn="1" w:firstRow="1" w:lastColumn="0" w:lastRow="0" w:noHBand="0" w:noVBand="1" w:val="04A0"/>
        <w:tblInd w:w="120" w:type="dxa"/>
        <w:tblBorders>
          <w:top w:val="single" w:sz="8" w:space="0" w:color="245B3A"/>
          <w:left w:val="single" w:sz="8" w:space="0" w:color="245B3A"/>
          <w:bottom w:val="single" w:sz="8" w:space="0" w:color="245B3A"/>
          <w:right w:val="single" w:sz="8" w:space="0" w:color="245B3A"/>
          <w:insideH w:val="single" w:sz="8" w:space="0" w:color="245B3A"/>
          <w:insideV w:val="single" w:sz="8" w:space="0" w:color="245B3A"/>
        </w:tblBorders>
      </w:tblPr>
      <w:tblGrid>
        <w:gridCol w:w="9360"/>
      </w:tblGrid>
      <w:tr>
        <w:trPr>
          <w:tblHeader w:val="true"/>
        </w:trPr>
        <w:tc>
          <w:tcPr>
            <w:tcW w:type="dxa" w:w="9360"/>
            <w:tcMar>
              <w:top w:w="130" w:type="dxa"/>
              <w:start w:w="180" w:type="dxa"/>
              <w:bottom w:w="130" w:type="dxa"/>
              <w:end w:w="180" w:type="dxa"/>
            </w:tcMar>
            <w:vAlign w:val="center"/>
            <w:shd w:fill="EAF4EC"/>
          </w:tcPr>
          <w:p>
            <w:pPr>
              <w:spacing w:after="0"/>
            </w:pPr>
            <w:r>
              <w:rPr>
                <w:rFonts w:ascii="Aptos" w:hAnsi="Aptos"/>
                <w:b/>
                <w:color w:val="245B3A"/>
                <w:sz w:val="19"/>
              </w:rPr>
              <w:t xml:space="preserve">PREPARATION IS ALLOWED  </w:t>
            </w:r>
            <w:r>
              <w:rPr>
                <w:rFonts w:ascii="Aptos" w:hAnsi="Aptos"/>
                <w:color w:val="17212B"/>
                <w:sz w:val="19"/>
              </w:rPr>
              <w:t>Drafting, organizing, research, local testing, and review are allowed within scope. A prepared draft, saved file, completed test, or quoted price is not approval to execute.</w:t>
            </w:r>
          </w:p>
        </w:tc>
      </w:tr>
    </w:tbl>
    <w:p>
      <w:pPr>
        <w:spacing w:after="20"/>
      </w:pPr>
    </w:p>
    <w:p>
      <w:pPr>
        <w:pStyle w:val="Heading2"/>
      </w:pPr>
      <w:r>
        <w:t>Truth-state vocabulary</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800"/>
        <w:gridCol w:w="7560"/>
      </w:tblGrid>
      <w:tr>
        <w:trPr>
          <w:tblHeader w:val="true"/>
        </w:trPr>
        <w:tc>
          <w:tcPr>
            <w:tcW w:type="dxa" w:w="1800"/>
            <w:tcMar>
              <w:top w:w="40" w:type="dxa"/>
              <w:start w:w="120" w:type="dxa"/>
              <w:bottom w:w="40" w:type="dxa"/>
              <w:end w:w="120" w:type="dxa"/>
            </w:tcMar>
            <w:vAlign w:val="center"/>
            <w:shd w:fill="17365D"/>
          </w:tcPr>
          <w:p>
            <w:pPr>
              <w:spacing w:after="0"/>
              <w:ind w:left="0" w:firstLine="0"/>
            </w:pPr>
            <w:r>
              <w:rPr>
                <w:rFonts w:ascii="Aptos" w:hAnsi="Aptos"/>
                <w:b/>
                <w:color w:val="FFFFFF"/>
                <w:sz w:val="16"/>
              </w:rPr>
              <w:t>Status</w:t>
            </w:r>
          </w:p>
        </w:tc>
        <w:tc>
          <w:tcPr>
            <w:tcW w:type="dxa" w:w="7560"/>
            <w:tcMar>
              <w:top w:w="40" w:type="dxa"/>
              <w:start w:w="120" w:type="dxa"/>
              <w:bottom w:w="40" w:type="dxa"/>
              <w:end w:w="120" w:type="dxa"/>
            </w:tcMar>
            <w:vAlign w:val="center"/>
            <w:shd w:fill="17365D"/>
          </w:tcPr>
          <w:p>
            <w:pPr>
              <w:spacing w:after="0"/>
              <w:ind w:left="0" w:firstLine="0"/>
            </w:pPr>
            <w:r>
              <w:rPr>
                <w:rFonts w:ascii="Aptos" w:hAnsi="Aptos"/>
                <w:b/>
                <w:color w:val="FFFFFF"/>
                <w:sz w:val="16"/>
              </w:rPr>
              <w:t>Meaning</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Discovered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Located or reported, but not yet checked for identity, completeness, currency, or authority.</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Verified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Matched to the controlling source or objective evidence as of a stated date.</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Prepared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A draft, package, configuration, or test exists locally; no external effect is implied.</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Approved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The authorized human approved the exact content, destination, cost, or action.</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Executed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The action occurred and proof of the result was retained.</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Published / live</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A current public or production readback confirms availability on the intended surface.</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Blocked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A specific dependency prevents meaningful progress; the missing input, owner, and next action are recorded.</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Historical</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Retained for lineage or evidence; not controlling current work.</w:t>
            </w:r>
          </w:p>
        </w:tc>
      </w:tr>
    </w:tbl>
    <w:p>
      <w:pPr>
        <w:spacing w:after="0" w:line="20" w:lineRule="exact"/>
      </w:pPr>
      <w:r>
        <w:rPr>
          <w:rFonts w:ascii="Aptos" w:hAnsi="Aptos"/>
          <w:color w:val="FFFFFF"/>
          <w:sz w:val="2"/>
        </w:rPr>
        <w:t xml:space="preserve"> </w:t>
      </w:r>
    </w:p>
    <w:p>
      <w:pPr>
        <w:pStyle w:val="Heading1"/>
        <w:pageBreakBefore/>
      </w:pPr>
      <w:r>
        <w:t>1. Purpose, Scope, and Boundaries</w:t>
      </w:r>
    </w:p>
    <w:p>
      <w:pPr>
        <w:pStyle w:val="Heading2"/>
      </w:pPr>
      <w:r>
        <w:t>1.1 Purpose</w:t>
      </w:r>
    </w:p>
    <w:p>
      <w:pPr/>
      <w:r>
        <w:rPr>
          <w:rFonts w:ascii="Aptos" w:hAnsi="Aptos"/>
          <w:color w:val="17212B"/>
          <w:sz w:val="21"/>
        </w:rPr>
        <w:t>This manual is the Company’s reusable internal procedure source. It establishes how work is accepted, classified, prepared, reviewed, approved, verified, recorded, handed off, and improved across the organization.</w:t>
      </w:r>
    </w:p>
    <w:p>
      <w:pPr/>
      <w:r>
        <w:rPr>
          <w:rFonts w:ascii="Aptos" w:hAnsi="Aptos"/>
          <w:color w:val="17212B"/>
          <w:sz w:val="21"/>
        </w:rPr>
        <w:t>It is designed to keep ordinary work moving while reserving consequential decisions for the correct owner and preserving clear evidence of what actually happened.</w:t>
      </w:r>
    </w:p>
    <w:p>
      <w:pPr>
        <w:pStyle w:val="Heading2"/>
      </w:pPr>
      <w:r>
        <w:t>1.2 What this manual covers</w:t>
      </w:r>
    </w:p>
    <w:p>
      <w:pPr>
        <w:pStyle w:val="ListBullet"/>
      </w:pPr>
      <w:r>
        <w:rPr>
          <w:rFonts w:ascii="Aptos" w:hAnsi="Aptos"/>
          <w:color w:val="17212B"/>
          <w:sz w:val="20"/>
        </w:rPr>
        <w:t>Work intake, triage, prioritization, ownership, and completion criteria.</w:t>
      </w:r>
    </w:p>
    <w:p>
      <w:pPr>
        <w:pStyle w:val="ListBullet"/>
      </w:pPr>
      <w:r>
        <w:rPr>
          <w:rFonts w:ascii="Aptos" w:hAnsi="Aptos"/>
          <w:color w:val="17212B"/>
          <w:sz w:val="20"/>
        </w:rPr>
        <w:t>Document control, records organization, source lineage, and proof retention.</w:t>
      </w:r>
    </w:p>
    <w:p>
      <w:pPr>
        <w:pStyle w:val="ListBullet"/>
      </w:pPr>
      <w:r>
        <w:rPr>
          <w:rFonts w:ascii="Aptos" w:hAnsi="Aptos"/>
          <w:color w:val="17212B"/>
          <w:sz w:val="20"/>
        </w:rPr>
        <w:t>Entity and client separation, conflicts screening, and scope control.</w:t>
      </w:r>
    </w:p>
    <w:p>
      <w:pPr>
        <w:pStyle w:val="ListBullet"/>
      </w:pPr>
      <w:r>
        <w:rPr>
          <w:rFonts w:ascii="Aptos" w:hAnsi="Aptos"/>
          <w:color w:val="17212B"/>
          <w:sz w:val="20"/>
        </w:rPr>
        <w:t>Internal approvals for spending, communications, access, vendors, and release.</w:t>
      </w:r>
    </w:p>
    <w:p>
      <w:pPr>
        <w:pStyle w:val="ListBullet"/>
      </w:pPr>
      <w:r>
        <w:rPr>
          <w:rFonts w:ascii="Aptos" w:hAnsi="Aptos"/>
          <w:color w:val="17212B"/>
          <w:sz w:val="20"/>
        </w:rPr>
        <w:t>Privacy, information security, device custody, incidents, and business continuity.</w:t>
      </w:r>
    </w:p>
    <w:p>
      <w:pPr>
        <w:pStyle w:val="ListBullet"/>
      </w:pPr>
      <w:r>
        <w:rPr>
          <w:rFonts w:ascii="Aptos" w:hAnsi="Aptos"/>
          <w:color w:val="17212B"/>
          <w:sz w:val="20"/>
        </w:rPr>
        <w:t>Quality assurance, handoffs, change control, and operating cadence.</w:t>
      </w:r>
    </w:p>
    <w:p>
      <w:pPr>
        <w:pStyle w:val="Heading2"/>
      </w:pPr>
      <w:r>
        <w:t>1.3 What this manual does not cover</w:t>
      </w:r>
    </w:p>
    <w:p>
      <w:pPr>
        <w:pStyle w:val="ListBullet"/>
      </w:pPr>
      <w:r>
        <w:rPr>
          <w:rFonts w:ascii="Aptos" w:hAnsi="Aptos"/>
          <w:color w:val="17212B"/>
          <w:sz w:val="20"/>
        </w:rPr>
        <w:t>Employee rights, workplace policies, benefits, leave, timekeeping rules, or employee acknowledgements; those belong in the employee handbook or other employee-facing documents.</w:t>
      </w:r>
    </w:p>
    <w:p>
      <w:pPr>
        <w:pStyle w:val="ListBullet"/>
      </w:pPr>
      <w:r>
        <w:rPr>
          <w:rFonts w:ascii="Aptos" w:hAnsi="Aptos"/>
          <w:color w:val="17212B"/>
          <w:sz w:val="20"/>
        </w:rPr>
        <w:t>Hiring or onboarding steps, employee-specific start gates, payroll forms, compensation, or classification decisions.</w:t>
      </w:r>
    </w:p>
    <w:p>
      <w:pPr>
        <w:pStyle w:val="ListBullet"/>
      </w:pPr>
      <w:r>
        <w:rPr>
          <w:rFonts w:ascii="Aptos" w:hAnsi="Aptos"/>
          <w:color w:val="17212B"/>
          <w:sz w:val="20"/>
        </w:rPr>
        <w:t>Legal, tax, accounting, insurance, licensing, payroll, or regulatory conclusions.</w:t>
      </w:r>
    </w:p>
    <w:p>
      <w:pPr>
        <w:pStyle w:val="ListBullet"/>
      </w:pPr>
      <w:r>
        <w:rPr>
          <w:rFonts w:ascii="Aptos" w:hAnsi="Aptos"/>
          <w:color w:val="17212B"/>
          <w:sz w:val="20"/>
        </w:rPr>
        <w:t>Client-specific scopes, prices, promises, contracts, deliverables, or access grants.</w:t>
      </w:r>
    </w:p>
    <w:p>
      <w:pPr>
        <w:pStyle w:val="ListBullet"/>
      </w:pPr>
      <w:r>
        <w:rPr>
          <w:rFonts w:ascii="Aptos" w:hAnsi="Aptos"/>
          <w:color w:val="17212B"/>
          <w:sz w:val="20"/>
        </w:rPr>
        <w:t>Technical configuration standards that are maintained in a current system-specific checklist.</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BOUNDARY  </w:t>
            </w:r>
            <w:r>
              <w:rPr>
                <w:rFonts w:ascii="Aptos" w:hAnsi="Aptos"/>
                <w:color w:val="17212B"/>
                <w:sz w:val="19"/>
              </w:rPr>
              <w:t>Where a procedure touches employment, law, tax, payroll, insurance, licensing, safety, privacy, or a regulated activity, this manual identifies the operational handoff; it does not supply the professional conclusion.</w:t>
            </w:r>
          </w:p>
        </w:tc>
      </w:tr>
    </w:tbl>
    <w:p>
      <w:pPr>
        <w:spacing w:after="20"/>
      </w:pPr>
    </w:p>
    <w:p>
      <w:pPr>
        <w:pStyle w:val="Heading1"/>
        <w:pageBreakBefore/>
      </w:pPr>
      <w:r>
        <w:t>2. Authority and Accountability</w:t>
      </w:r>
    </w:p>
    <w:p>
      <w:pPr>
        <w:pStyle w:val="Heading2"/>
      </w:pPr>
      <w:r>
        <w:t>2.1 Roles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00"/>
        <w:gridCol w:w="6960"/>
      </w:tblGrid>
      <w:tr>
        <w:trPr>
          <w:tblHeader w:val="true"/>
        </w:trPr>
        <w:tc>
          <w:tcPr>
            <w:tcW w:type="dxa" w:w="2400"/>
            <w:tcMar>
              <w:top w:w="100" w:type="dxa"/>
              <w:start w:w="120" w:type="dxa"/>
              <w:bottom w:w="100" w:type="dxa"/>
              <w:end w:w="120" w:type="dxa"/>
            </w:tcMar>
            <w:vAlign w:val="center"/>
            <w:shd w:fill="17365D"/>
          </w:tcPr>
          <w:p>
            <w:pPr>
              <w:spacing w:after="0"/>
              <w:ind w:left="0" w:firstLine="0"/>
            </w:pPr>
            <w:r>
              <w:rPr>
                <w:rFonts w:ascii="Aptos" w:hAnsi="Aptos"/>
                <w:b/>
                <w:color w:val="FFFFFF"/>
                <w:sz w:val="18"/>
              </w:rPr>
              <w:t>Role</w:t>
            </w:r>
          </w:p>
        </w:tc>
        <w:tc>
          <w:tcPr>
            <w:tcW w:type="dxa" w:w="6960"/>
            <w:tcMar>
              <w:top w:w="100" w:type="dxa"/>
              <w:start w:w="120" w:type="dxa"/>
              <w:bottom w:w="100" w:type="dxa"/>
              <w:end w:w="120" w:type="dxa"/>
            </w:tcMar>
            <w:vAlign w:val="center"/>
            <w:shd w:fill="17365D"/>
          </w:tcPr>
          <w:p>
            <w:pPr>
              <w:spacing w:after="0"/>
              <w:ind w:left="0" w:firstLine="0"/>
            </w:pPr>
            <w:r>
              <w:rPr>
                <w:rFonts w:ascii="Aptos" w:hAnsi="Aptos"/>
                <w:b/>
                <w:color w:val="FFFFFF"/>
                <w:sz w:val="18"/>
              </w:rPr>
              <w:t>Core accountability</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Owner or authorized decision maker / 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Sets business direction; approves consequential actions; retains final authority over commitments, funds, filings, access, systems, external communications, and issued policy.</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Operations Coordinator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Maintains the control record, routes work, reconciles status, organizes evidence, and prepares review candidates. Does not bind the Company.</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Workstream 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Owns one defined outcome, source, completion test, due window, and proof return. Escalates material conflicts.</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Contributor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Completes assigned preparation and returns evidence; does not expand scope or assume approval authority.</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Professional Reviewer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Provides the conclusion or confirmation within the reviewer’s licensed or specialized scope. The Company records the advice and resulting owner decision.</w:t>
            </w:r>
          </w:p>
        </w:tc>
      </w:tr>
    </w:tbl>
    <w:p>
      <w:pPr>
        <w:spacing w:after="0" w:line="20" w:lineRule="exact"/>
      </w:pPr>
      <w:r>
        <w:rPr>
          <w:rFonts w:ascii="Aptos" w:hAnsi="Aptos"/>
          <w:color w:val="FFFFFF"/>
          <w:sz w:val="2"/>
        </w:rPr>
        <w:t xml:space="preserve"> </w:t>
      </w:r>
    </w:p>
    <w:p>
      <w:pPr>
        <w:pStyle w:val="Heading2"/>
      </w:pPr>
      <w:r>
        <w:t>2.2 Decision-rights matrix</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750"/>
        <w:gridCol w:w="1900"/>
        <w:gridCol w:w="3250"/>
        <w:gridCol w:w="2460"/>
      </w:tblGrid>
      <w:tr>
        <w:trPr>
          <w:tblHeader w:val="true"/>
        </w:trPr>
        <w:tc>
          <w:tcPr>
            <w:tcW w:type="dxa" w:w="1750"/>
            <w:tcMar>
              <w:top w:w="100" w:type="dxa"/>
              <w:start w:w="120" w:type="dxa"/>
              <w:bottom w:w="100" w:type="dxa"/>
              <w:end w:w="120" w:type="dxa"/>
            </w:tcMar>
            <w:vAlign w:val="center"/>
            <w:shd w:fill="17365D"/>
          </w:tcPr>
          <w:p>
            <w:pPr>
              <w:spacing w:after="0"/>
              <w:ind w:left="0" w:firstLine="0"/>
            </w:pPr>
            <w:r>
              <w:rPr>
                <w:rFonts w:ascii="Aptos" w:hAnsi="Aptos"/>
                <w:b/>
                <w:color w:val="FFFFFF"/>
                <w:sz w:val="16"/>
              </w:rPr>
              <w:t>Action</w:t>
            </w:r>
          </w:p>
        </w:tc>
        <w:tc>
          <w:tcPr>
            <w:tcW w:type="dxa" w:w="1900"/>
            <w:tcMar>
              <w:top w:w="100" w:type="dxa"/>
              <w:start w:w="120" w:type="dxa"/>
              <w:bottom w:w="100" w:type="dxa"/>
              <w:end w:w="120" w:type="dxa"/>
            </w:tcMar>
            <w:vAlign w:val="center"/>
            <w:shd w:fill="17365D"/>
          </w:tcPr>
          <w:p>
            <w:pPr>
              <w:spacing w:after="0"/>
              <w:ind w:left="0" w:firstLine="0"/>
            </w:pPr>
            <w:r>
              <w:rPr>
                <w:rFonts w:ascii="Aptos" w:hAnsi="Aptos"/>
                <w:b/>
                <w:color w:val="FFFFFF"/>
                <w:sz w:val="16"/>
              </w:rPr>
              <w:t>Approver</w:t>
            </w:r>
          </w:p>
        </w:tc>
        <w:tc>
          <w:tcPr>
            <w:tcW w:type="dxa" w:w="3250"/>
            <w:tcMar>
              <w:top w:w="100" w:type="dxa"/>
              <w:start w:w="120" w:type="dxa"/>
              <w:bottom w:w="100" w:type="dxa"/>
              <w:end w:w="120" w:type="dxa"/>
            </w:tcMar>
            <w:vAlign w:val="center"/>
            <w:shd w:fill="17365D"/>
          </w:tcPr>
          <w:p>
            <w:pPr>
              <w:spacing w:after="0"/>
              <w:ind w:left="0" w:firstLine="0"/>
            </w:pPr>
            <w:r>
              <w:rPr>
                <w:rFonts w:ascii="Aptos" w:hAnsi="Aptos"/>
                <w:b/>
                <w:color w:val="FFFFFF"/>
                <w:sz w:val="16"/>
              </w:rPr>
              <w:t>Required review packet</w:t>
            </w:r>
          </w:p>
        </w:tc>
        <w:tc>
          <w:tcPr>
            <w:tcW w:type="dxa" w:w="2460"/>
            <w:tcMar>
              <w:top w:w="100" w:type="dxa"/>
              <w:start w:w="120" w:type="dxa"/>
              <w:bottom w:w="100" w:type="dxa"/>
              <w:end w:w="120" w:type="dxa"/>
            </w:tcMar>
            <w:vAlign w:val="center"/>
            <w:shd w:fill="17365D"/>
          </w:tcPr>
          <w:p>
            <w:pPr>
              <w:spacing w:after="0"/>
              <w:ind w:left="0" w:firstLine="0"/>
            </w:pPr>
            <w:r>
              <w:rPr>
                <w:rFonts w:ascii="Aptos" w:hAnsi="Aptos"/>
                <w:b/>
                <w:color w:val="FFFFFF"/>
                <w:sz w:val="16"/>
              </w:rPr>
              <w:t>Completion evidence</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Routine internal preparation</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Assigned workstream 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Approved scope and current source</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Prepared candidate and working proof</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Spend, payment, purchase, subscription</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Exact amount, vendor, purpose, funding source, and terms</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Receipt, confirmation, and accounting record</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External communication</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 or specifically delegated approver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Exact final content, sender, recipients, attachments, and channel</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Sent-item or recipient confirmation</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Publication / deployment</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Final artifact, destination, privacy/data behavior, rollback plan</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Live readback and release record</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Filing / signature / binding commitment</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 / authorized signatory</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Final instrument and required professional review</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Accepted filing, countersigned agreement, or official receipt</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Account, access, credential, or provider change</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Named account, current owner/admin, requested role, recovery plan</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Provider readback and access register update</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Material deletion or disposition</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Exact target, retention need, recovery method, and proof</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Deletion/disposition record and verification</w:t>
            </w:r>
          </w:p>
        </w:tc>
      </w:tr>
    </w:tbl>
    <w:p>
      <w:pPr>
        <w:spacing w:after="0" w:line="20" w:lineRule="exact"/>
      </w:pPr>
      <w:r>
        <w:rPr>
          <w:rFonts w:ascii="Aptos" w:hAnsi="Aptos"/>
          <w:color w:val="FFFFFF"/>
          <w:sz w:val="2"/>
        </w:rPr>
        <w:t xml:space="preserve"> </w:t>
      </w:r>
    </w:p>
    <w:p>
      <w:pPr>
        <w:pStyle w:val="Heading2"/>
      </w:pPr>
      <w:r>
        <w:t>2.3 Delegation</w:t>
      </w:r>
    </w:p>
    <w:p>
      <w:pPr/>
      <w:r>
        <w:rPr>
          <w:rFonts w:ascii="Aptos" w:hAnsi="Aptos"/>
          <w:color w:val="17212B"/>
          <w:sz w:val="21"/>
        </w:rPr>
        <w:t>Delegation must be explicit, bounded, and recorded. It identifies the person, the exact authority, the applicable entity or account, any spending or time limit, the effective period, and the required evidence. Access to a system does not by itself create authority to spend, send, approve, sign, or change settings.</w:t>
      </w:r>
    </w:p>
    <w:p>
      <w:pPr>
        <w:pStyle w:val="Heading1"/>
        <w:pageBreakBefore/>
      </w:pPr>
      <w:r>
        <w:t>3. Entity, Client, and Conflict Separation</w:t>
      </w:r>
    </w:p>
    <w:tbl>
      <w:tblPr>
        <w:tblW w:type="dxa" w:w="9360"/>
        <w:jc w:val="left"/>
        <w:tblLayout w:type="fixed"/>
        <w:tblLook w:firstColumn="1" w:firstRow="1" w:lastColumn="0" w:lastRow="0" w:noHBand="0" w:noVBand="1" w:val="04A0"/>
        <w:tblInd w:w="12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Pr>
      <w:tblGrid>
        <w:gridCol w:w="9360"/>
      </w:tblGrid>
      <w:tr>
        <w:trPr>
          <w:tblHeader w:val="true"/>
        </w:trPr>
        <w:tc>
          <w:tcPr>
            <w:tcW w:type="dxa" w:w="9360"/>
            <w:tcMar>
              <w:top w:w="130" w:type="dxa"/>
              <w:start w:w="180" w:type="dxa"/>
              <w:bottom w:w="130" w:type="dxa"/>
              <w:end w:w="180" w:type="dxa"/>
            </w:tcMar>
            <w:vAlign w:val="center"/>
            <w:shd w:fill="E8EEF5"/>
          </w:tcPr>
          <w:p>
            <w:pPr>
              <w:spacing w:after="0"/>
            </w:pPr>
            <w:r>
              <w:rPr>
                <w:rFonts w:ascii="Aptos" w:hAnsi="Aptos"/>
                <w:b/>
                <w:color w:val="17365D"/>
                <w:sz w:val="19"/>
              </w:rPr>
              <w:t xml:space="preserve">COMPANY ROLE  Records organization and bookkeeping support require a written client scope, separated client records, appropriate account permissions and review of exceptions. This manual grants no authority over another entity and promises no regulated service or credential.</w:t>
            </w:r>
            <w:r>
              <w:rPr>
                <w:rFonts w:ascii="Aptos" w:hAnsi="Aptos"/>
                <w:color w:val="17212B"/>
                <w:sz w:val="19"/>
              </w:rPr>
              <w:t/>
            </w:r>
          </w:p>
        </w:tc>
      </w:tr>
    </w:tbl>
    <w:p>
      <w:pPr>
        <w:spacing w:after="20"/>
      </w:pPr>
    </w:p>
    <w:p>
      <w:pPr>
        <w:pStyle w:val="Heading2"/>
      </w:pPr>
      <w:r>
        <w:t>3.1 Separation standard</w:t>
      </w:r>
    </w:p>
    <w:p>
      <w:pPr>
        <w:pStyle w:val="ListBullet"/>
      </w:pPr>
      <w:r>
        <w:rPr>
          <w:rFonts w:ascii="Aptos" w:hAnsi="Aptos"/>
          <w:color w:val="17212B"/>
          <w:sz w:val="20"/>
        </w:rPr>
        <w:t>Identify the legal entity and accountable owner before creating a file, account, contract, payment, invoice, customer record, or public statement.</w:t>
      </w:r>
    </w:p>
    <w:p>
      <w:pPr>
        <w:pStyle w:val="ListBullet"/>
      </w:pPr>
      <w:r>
        <w:rPr>
          <w:rFonts w:ascii="Aptos" w:hAnsi="Aptos"/>
          <w:color w:val="17212B"/>
          <w:sz w:val="20"/>
        </w:rPr>
        <w:t>Keep each entity’s contracts, bank and merchant accounts, books, taxes, licenses, insurance, titles, assets, customer records, refunds, chargebacks, credentials, and revenue attributable to that entity.</w:t>
      </w:r>
    </w:p>
    <w:p>
      <w:pPr>
        <w:pStyle w:val="ListBullet"/>
      </w:pPr>
      <w:r>
        <w:rPr>
          <w:rFonts w:ascii="Aptos" w:hAnsi="Aptos"/>
          <w:color w:val="17212B"/>
          <w:sz w:val="20"/>
        </w:rPr>
        <w:t>Do not route another entity’s customer payments, deposits, sale proceeds, taxes, refunds, or chargebacks through the Company unless a reviewed written arrangement and appropriate professional confirmation expressly authorize it.</w:t>
      </w:r>
    </w:p>
    <w:p>
      <w:pPr>
        <w:pStyle w:val="ListBullet"/>
      </w:pPr>
      <w:r>
        <w:rPr>
          <w:rFonts w:ascii="Aptos" w:hAnsi="Aptos"/>
          <w:color w:val="17212B"/>
          <w:sz w:val="20"/>
        </w:rPr>
        <w:t>Use entity-specific names, signatures, letterhead, sender identities, domains, storage locations, and accounting records. Neutral templates may be reused only after all prior-entity data is removed.</w:t>
      </w:r>
    </w:p>
    <w:p>
      <w:pPr>
        <w:pStyle w:val="ListBullet"/>
      </w:pPr>
      <w:r>
        <w:rPr>
          <w:rFonts w:ascii="Aptos" w:hAnsi="Aptos"/>
          <w:color w:val="17212B"/>
          <w:sz w:val="20"/>
        </w:rPr>
        <w:t>Never assume one person’s private access, authority, context, or approval applies to another person or entity.</w:t>
      </w:r>
    </w:p>
    <w:p>
      <w:pPr>
        <w:pStyle w:val="Heading2"/>
      </w:pPr>
      <w:r>
        <w:t>3.2 Conflict and related-party screen</w:t>
      </w:r>
    </w:p>
    <w:p>
      <w:pPr>
        <w:pStyle w:val="Checklist"/>
      </w:pPr>
      <w:r>
        <w:rPr>
          <w:rFonts w:ascii="Arial" w:hAnsi="Arial"/>
          <w:color w:val="2E74B5"/>
          <w:sz w:val="21"/>
        </w:rPr>
        <w:t xml:space="preserve">☐  </w:t>
      </w:r>
      <w:r>
        <w:rPr>
          <w:rFonts w:ascii="Aptos" w:hAnsi="Aptos"/>
          <w:color w:val="17212B"/>
          <w:sz w:val="20"/>
        </w:rPr>
        <w:t>A Company owner or team member also owns, manages, advises, works for, or receives money from the subject business.</w:t>
      </w:r>
    </w:p>
    <w:p>
      <w:pPr>
        <w:pStyle w:val="Checklist"/>
      </w:pPr>
      <w:r>
        <w:rPr>
          <w:rFonts w:ascii="Arial" w:hAnsi="Arial"/>
          <w:color w:val="2E74B5"/>
          <w:sz w:val="21"/>
        </w:rPr>
        <w:t xml:space="preserve">☐  </w:t>
      </w:r>
      <w:r>
        <w:rPr>
          <w:rFonts w:ascii="Aptos" w:hAnsi="Aptos"/>
          <w:color w:val="17212B"/>
          <w:sz w:val="20"/>
        </w:rPr>
        <w:t>The work involves transactions, referrals, shared assets, workers, property, data, customers, or vendors across entities.</w:t>
      </w:r>
    </w:p>
    <w:p>
      <w:pPr>
        <w:pStyle w:val="Checklist"/>
      </w:pPr>
      <w:r>
        <w:rPr>
          <w:rFonts w:ascii="Arial" w:hAnsi="Arial"/>
          <w:color w:val="2E74B5"/>
          <w:sz w:val="21"/>
        </w:rPr>
        <w:t xml:space="preserve">☐  </w:t>
      </w:r>
      <w:r>
        <w:rPr>
          <w:rFonts w:ascii="Aptos" w:hAnsi="Aptos"/>
          <w:color w:val="17212B"/>
          <w:sz w:val="20"/>
        </w:rPr>
        <w:t>A family member, owner, manager, or Company-connected person may benefit personally from the proposed action.</w:t>
      </w:r>
    </w:p>
    <w:p>
      <w:pPr>
        <w:pStyle w:val="Checklist"/>
      </w:pPr>
      <w:r>
        <w:rPr>
          <w:rFonts w:ascii="Arial" w:hAnsi="Arial"/>
          <w:color w:val="2E74B5"/>
          <w:sz w:val="21"/>
        </w:rPr>
        <w:t xml:space="preserve">☐  </w:t>
      </w:r>
      <w:r>
        <w:rPr>
          <w:rFonts w:ascii="Aptos" w:hAnsi="Aptos"/>
          <w:color w:val="17212B"/>
          <w:sz w:val="20"/>
        </w:rPr>
        <w:t>Information must be segregated from another client, entity, owner, or workstream.</w:t>
      </w:r>
    </w:p>
    <w:p>
      <w:pPr>
        <w:pStyle w:val="Checklist"/>
      </w:pPr>
      <w:r>
        <w:rPr>
          <w:rFonts w:ascii="Arial" w:hAnsi="Arial"/>
          <w:color w:val="2E74B5"/>
          <w:sz w:val="21"/>
        </w:rPr>
        <w:t xml:space="preserve">☐  </w:t>
      </w:r>
      <w:r>
        <w:rPr>
          <w:rFonts w:ascii="Aptos" w:hAnsi="Aptos"/>
          <w:color w:val="17212B"/>
          <w:sz w:val="20"/>
        </w:rPr>
        <w:t>Company would be asked to make a promise, recommendation, or decision outside the approved support role.</w:t>
      </w:r>
    </w:p>
    <w:p>
      <w:pPr/>
      <w:r>
        <w:rPr>
          <w:rFonts w:ascii="Aptos" w:hAnsi="Aptos"/>
          <w:color w:val="17212B"/>
          <w:sz w:val="21"/>
        </w:rPr>
        <w:t>If any item is yes or uncertain, document the parties, interests, affected records, proposed safeguards, and owner decision before proceeding. Obtain counsel review where duties, consent, disclosure, privilege, or enforceability could be affected.</w:t>
      </w:r>
    </w:p>
    <w:p>
      <w:pPr>
        <w:pStyle w:val="Heading1"/>
        <w:pageBreakBefore/>
      </w:pPr>
      <w:r>
        <w:t>4. Work Intake, Triage, and Prioritization</w:t>
      </w:r>
    </w:p>
    <w:p>
      <w:pPr>
        <w:pStyle w:val="Heading2"/>
      </w:pPr>
      <w:r>
        <w:t>4.1 Minimum work brief</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100"/>
        <w:gridCol w:w="7260"/>
      </w:tblGrid>
      <w:tr>
        <w:trPr>
          <w:tblHeader w:val="true"/>
        </w:trPr>
        <w:tc>
          <w:tcPr>
            <w:tcW w:type="dxa" w:w="2100"/>
            <w:tcMar>
              <w:top w:w="100" w:type="dxa"/>
              <w:start w:w="120" w:type="dxa"/>
              <w:bottom w:w="100" w:type="dxa"/>
              <w:end w:w="120" w:type="dxa"/>
            </w:tcMar>
            <w:vAlign w:val="center"/>
            <w:shd w:fill="17365D"/>
          </w:tcPr>
          <w:p>
            <w:pPr>
              <w:spacing w:after="0"/>
              <w:ind w:left="0" w:firstLine="0"/>
            </w:pPr>
            <w:r>
              <w:rPr>
                <w:rFonts w:ascii="Aptos" w:hAnsi="Aptos"/>
                <w:b/>
                <w:color w:val="FFFFFF"/>
                <w:sz w:val="18"/>
              </w:rPr>
              <w:t>Field</w:t>
            </w:r>
          </w:p>
        </w:tc>
        <w:tc>
          <w:tcPr>
            <w:tcW w:type="dxa" w:w="7260"/>
            <w:tcMar>
              <w:top w:w="100" w:type="dxa"/>
              <w:start w:w="120" w:type="dxa"/>
              <w:bottom w:w="100" w:type="dxa"/>
              <w:end w:w="120" w:type="dxa"/>
            </w:tcMar>
            <w:vAlign w:val="center"/>
            <w:shd w:fill="17365D"/>
          </w:tcPr>
          <w:p>
            <w:pPr>
              <w:spacing w:after="0"/>
              <w:ind w:left="0" w:firstLine="0"/>
            </w:pPr>
            <w:r>
              <w:rPr>
                <w:rFonts w:ascii="Aptos" w:hAnsi="Aptos"/>
                <w:b/>
                <w:color w:val="FFFFFF"/>
                <w:sz w:val="18"/>
              </w:rPr>
              <w:t>Required definition</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Outcome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visible result or decision to produce.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Entity / owner</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accountable legal entity and human owner.</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Controlling source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current file, record, system, instruction, or authoritative evidence.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Completion test</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objective proof that makes the work complete.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Decision window</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real due date, event, expiration, cost, or dependency.</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Constraints</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Budget, privacy, scope, entity, access, professional, and approval boundaries.</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Next action</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smallest physical action that materially advances the outcome.</w:t>
            </w:r>
          </w:p>
        </w:tc>
      </w:tr>
    </w:tbl>
    <w:p>
      <w:pPr>
        <w:spacing w:after="0" w:line="20" w:lineRule="exact"/>
      </w:pPr>
      <w:r>
        <w:rPr>
          <w:rFonts w:ascii="Aptos" w:hAnsi="Aptos"/>
          <w:color w:val="FFFFFF"/>
          <w:sz w:val="2"/>
        </w:rPr>
        <w:t xml:space="preserve"> </w:t>
      </w:r>
    </w:p>
    <w:p>
      <w:pPr>
        <w:pStyle w:val="Heading2"/>
      </w:pPr>
      <w:r>
        <w:t>4.2 Intake procedure</w:t>
      </w:r>
    </w:p>
    <w:p>
      <w:pPr>
        <w:spacing w:after="80" w:line="276" w:lineRule="auto"/>
        <w:numPr>
          <w:ilvl w:val="0"/>
          <w:numId w:val="11"/>
        </w:numPr>
      </w:pPr>
      <w:r>
        <w:rPr>
          <w:rFonts w:ascii="Aptos" w:hAnsi="Aptos"/>
          <w:color w:val="17212B"/>
          <w:sz w:val="20"/>
        </w:rPr>
        <w:t>Capture the requester’s desired outcome and the exact visible words, filename, sender, date, URL, error, or symptom when diagnosing an existing item.</w:t>
      </w:r>
    </w:p>
    <w:p>
      <w:pPr>
        <w:spacing w:after="80" w:line="276" w:lineRule="auto"/>
        <w:numPr>
          <w:ilvl w:val="0"/>
          <w:numId w:val="11"/>
        </w:numPr>
      </w:pPr>
      <w:r>
        <w:rPr>
          <w:rFonts w:ascii="Aptos" w:hAnsi="Aptos"/>
          <w:color w:val="17212B"/>
          <w:sz w:val="20"/>
        </w:rPr>
        <w:t>Classify the object before acting: record, document, task, account, system, communication, transaction, or decision.</w:t>
      </w:r>
    </w:p>
    <w:p>
      <w:pPr>
        <w:spacing w:after="80" w:line="276" w:lineRule="auto"/>
        <w:numPr>
          <w:ilvl w:val="0"/>
          <w:numId w:val="11"/>
        </w:numPr>
      </w:pPr>
      <w:r>
        <w:rPr>
          <w:rFonts w:ascii="Aptos" w:hAnsi="Aptos"/>
          <w:color w:val="17212B"/>
          <w:sz w:val="20"/>
        </w:rPr>
        <w:t>Identify the entity, owner, access state, and current source. Use an exact-identifier lookup first; broaden only as needed.</w:t>
      </w:r>
    </w:p>
    <w:p>
      <w:pPr>
        <w:spacing w:after="80" w:line="276" w:lineRule="auto"/>
        <w:numPr>
          <w:ilvl w:val="0"/>
          <w:numId w:val="11"/>
        </w:numPr>
      </w:pPr>
      <w:r>
        <w:rPr>
          <w:rFonts w:ascii="Aptos" w:hAnsi="Aptos"/>
          <w:color w:val="17212B"/>
          <w:sz w:val="20"/>
        </w:rPr>
        <w:t>Separate facts already verified from reported assumptions and unanswered decisions.</w:t>
      </w:r>
    </w:p>
    <w:p>
      <w:pPr>
        <w:spacing w:after="80" w:line="276" w:lineRule="auto"/>
        <w:numPr>
          <w:ilvl w:val="0"/>
          <w:numId w:val="11"/>
        </w:numPr>
      </w:pPr>
      <w:r>
        <w:rPr>
          <w:rFonts w:ascii="Aptos" w:hAnsi="Aptos"/>
          <w:color w:val="17212B"/>
          <w:sz w:val="20"/>
        </w:rPr>
        <w:t>Confirm what is in scope, what is parked, and what requires approval or specialist review.</w:t>
      </w:r>
    </w:p>
    <w:p>
      <w:pPr>
        <w:spacing w:after="80" w:line="276" w:lineRule="auto"/>
        <w:numPr>
          <w:ilvl w:val="0"/>
          <w:numId w:val="11"/>
        </w:numPr>
      </w:pPr>
      <w:r>
        <w:rPr>
          <w:rFonts w:ascii="Aptos" w:hAnsi="Aptos"/>
          <w:color w:val="17212B"/>
          <w:sz w:val="20"/>
        </w:rPr>
        <w:t>Record the next action and proof requirement in the controlling work record.</w:t>
      </w:r>
    </w:p>
    <w:p>
      <w:pPr>
        <w:pStyle w:val="Heading2"/>
      </w:pPr>
      <w:r>
        <w:t>4.3 Priority rule</w:t>
      </w:r>
    </w:p>
    <w:p>
      <w:pPr/>
      <w:r>
        <w:rPr>
          <w:rFonts w:ascii="Aptos" w:hAnsi="Aptos"/>
          <w:color w:val="17212B"/>
          <w:sz w:val="21"/>
        </w:rPr>
        <w:t>Prioritize work by dependency and decision window: protect people and data first; then unblock commitments and deadlines; then preserve revenue, assets, and evidence; then complete ordinary operating improvements. Do not confuse urgency created by an incomplete handoff with actual business priority.</w:t>
      </w:r>
    </w:p>
    <w:p>
      <w:pPr>
        <w:pStyle w:val="Heading2"/>
      </w:pPr>
      <w:r>
        <w:t>4.4 Operations control board</w:t>
      </w:r>
    </w:p>
    <w:p>
      <w:pPr/>
      <w:r>
        <w:rPr>
          <w:rFonts w:ascii="Aptos" w:hAnsi="Aptos"/>
          <w:color w:val="17212B"/>
          <w:sz w:val="21"/>
        </w:rPr>
        <w:t>The control board is the live status surface; it assigns work but does not create policy. Keep one row per outcome, not one row per message or subtask. Every active row must contain the fields below.</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100"/>
        <w:gridCol w:w="7260"/>
      </w:tblGrid>
      <w:tr>
        <w:trPr>
          <w:tblHeader w:val="true"/>
        </w:trPr>
        <w:tc>
          <w:tcPr>
            <w:tcW w:type="dxa" w:w="2100"/>
            <w:tcMar>
              <w:top w:w="100" w:type="dxa"/>
              <w:start w:w="120" w:type="dxa"/>
              <w:bottom w:w="100" w:type="dxa"/>
              <w:end w:w="120" w:type="dxa"/>
            </w:tcMar>
            <w:vAlign w:val="center"/>
            <w:shd w:fill="17365D"/>
          </w:tcPr>
          <w:p>
            <w:pPr>
              <w:spacing w:after="0"/>
              <w:ind w:left="0" w:firstLine="0"/>
            </w:pPr>
            <w:r>
              <w:rPr>
                <w:rFonts w:ascii="Aptos" w:hAnsi="Aptos"/>
                <w:b/>
                <w:color w:val="FFFFFF"/>
                <w:sz w:val="17"/>
              </w:rPr>
              <w:t>Board field</w:t>
            </w:r>
          </w:p>
        </w:tc>
        <w:tc>
          <w:tcPr>
            <w:tcW w:type="dxa" w:w="7260"/>
            <w:tcMar>
              <w:top w:w="100" w:type="dxa"/>
              <w:start w:w="120" w:type="dxa"/>
              <w:bottom w:w="100" w:type="dxa"/>
              <w:end w:w="120" w:type="dxa"/>
            </w:tcMar>
            <w:vAlign w:val="center"/>
            <w:shd w:fill="17365D"/>
          </w:tcPr>
          <w:p>
            <w:pPr>
              <w:spacing w:after="0"/>
              <w:ind w:left="0" w:firstLine="0"/>
            </w:pPr>
            <w:r>
              <w:rPr>
                <w:rFonts w:ascii="Aptos" w:hAnsi="Aptos"/>
                <w:b/>
                <w:color w:val="FFFFFF"/>
                <w:sz w:val="17"/>
              </w:rPr>
              <w:t>Rule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Outcome / lane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One visible result; use a separate lane only when ownership and completion evidence are independent.</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Entity / owner</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Accountable legal entity and one human owner.</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Source / state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Controlling source and current truth state.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Decision window</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Due date, event, expiration, cost exposure, or dependency.</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Next action</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Smallest physical action that materially changes the state.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Gate / decision owner</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Exact approval, missing fact, professional conclusion, or external dependency.</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Proof</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Required evidence and approved return location.</w:t>
            </w:r>
          </w:p>
        </w:tc>
      </w:tr>
    </w:tbl>
    <w:p>
      <w:pPr>
        <w:spacing w:after="0" w:line="20" w:lineRule="exact"/>
      </w:pPr>
      <w:r>
        <w:rPr>
          <w:rFonts w:ascii="Aptos" w:hAnsi="Aptos"/>
          <w:color w:val="FFFFFF"/>
          <w:sz w:val="2"/>
        </w:rPr>
        <w:t xml:space="preserve"> </w:t>
      </w:r>
    </w:p>
    <w:p>
      <w:pPr>
        <w:pStyle w:val="Heading3"/>
      </w:pPr>
      <w:r>
        <w:t>Board states and allowed transitions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500"/>
        <w:gridCol w:w="5360"/>
        <w:gridCol w:w="2500"/>
      </w:tblGrid>
      <w:tr>
        <w:trPr>
          <w:tblHeader w:val="true"/>
        </w:trPr>
        <w:tc>
          <w:tcPr>
            <w:tcW w:type="dxa" w:w="1500"/>
            <w:tcMar>
              <w:top w:w="100" w:type="dxa"/>
              <w:start w:w="120" w:type="dxa"/>
              <w:bottom w:w="100" w:type="dxa"/>
              <w:end w:w="120" w:type="dxa"/>
            </w:tcMar>
            <w:vAlign w:val="center"/>
            <w:shd w:fill="17365D"/>
          </w:tcPr>
          <w:p>
            <w:pPr>
              <w:spacing w:after="0"/>
              <w:ind w:left="0" w:firstLine="0"/>
            </w:pPr>
            <w:r>
              <w:rPr>
                <w:rFonts w:ascii="Aptos" w:hAnsi="Aptos"/>
                <w:b/>
                <w:color w:val="FFFFFF"/>
                <w:sz w:val="16"/>
              </w:rPr>
              <w:t>State</w:t>
            </w:r>
          </w:p>
        </w:tc>
        <w:tc>
          <w:tcPr>
            <w:tcW w:type="dxa" w:w="5360"/>
            <w:tcMar>
              <w:top w:w="100" w:type="dxa"/>
              <w:start w:w="120" w:type="dxa"/>
              <w:bottom w:w="100" w:type="dxa"/>
              <w:end w:w="120" w:type="dxa"/>
            </w:tcMar>
            <w:vAlign w:val="center"/>
            <w:shd w:fill="17365D"/>
          </w:tcPr>
          <w:p>
            <w:pPr>
              <w:spacing w:after="0"/>
              <w:ind w:left="0" w:firstLine="0"/>
            </w:pPr>
            <w:r>
              <w:rPr>
                <w:rFonts w:ascii="Aptos" w:hAnsi="Aptos"/>
                <w:b/>
                <w:color w:val="FFFFFF"/>
                <w:sz w:val="16"/>
              </w:rPr>
              <w:t>Use only when</w:t>
            </w:r>
          </w:p>
        </w:tc>
        <w:tc>
          <w:tcPr>
            <w:tcW w:type="dxa" w:w="2500"/>
            <w:tcMar>
              <w:top w:w="100" w:type="dxa"/>
              <w:start w:w="120" w:type="dxa"/>
              <w:bottom w:w="100" w:type="dxa"/>
              <w:end w:w="120" w:type="dxa"/>
            </w:tcMar>
            <w:vAlign w:val="center"/>
            <w:shd w:fill="17365D"/>
          </w:tcPr>
          <w:p>
            <w:pPr>
              <w:spacing w:after="0"/>
              <w:ind w:left="0" w:firstLine="0"/>
            </w:pPr>
            <w:r>
              <w:rPr>
                <w:rFonts w:ascii="Aptos" w:hAnsi="Aptos"/>
                <w:b/>
                <w:color w:val="FFFFFF"/>
                <w:sz w:val="16"/>
              </w:rPr>
              <w:t>Next</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READY</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Source and next action are known; work may start within approved scope.</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IN PROGRESS / PARKED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IN PROGRESS</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Owner is actively producing the next result.</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REVIEW / WAITING / BLOCKED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REVIEW</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Candidate exists; QA, decision, or professional confirmation is pending.</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APPROVAL / IN PROGRESS</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APPROVAL</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Exact consequential action is ready for the named decision owner.</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IN PROGRESS / PARKED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WAITING</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A named external response or ordinary dependency is pending; follow-up date is set.</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READY / BLOCKED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BLOCKED</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A specific missing input prevents meaningful work; owner and unblock action are named.</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READY / PARKED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DONE</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Completion test passed and proof was returned.</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Reopen only with a recorded discrepancy or changed requirement</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PARKED</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Intentionally inactive; reason and restart condition are recorded.</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READY</w:t>
            </w:r>
          </w:p>
        </w:tc>
      </w:tr>
    </w:tbl>
    <w:p>
      <w:pPr>
        <w:spacing w:after="0" w:line="20" w:lineRule="exact"/>
      </w:pPr>
      <w:r>
        <w:rPr>
          <w:rFonts w:ascii="Aptos" w:hAnsi="Aptos"/>
          <w:color w:val="FFFFFF"/>
          <w:sz w:val="2"/>
        </w:rPr>
        <w:t xml:space="preserve"> </w:t>
      </w:r>
    </w:p>
    <w:p>
      <w:pPr>
        <w:pStyle w:val="Heading1"/>
        <w:pageBreakBefore/>
      </w:pPr>
      <w:r>
        <w:t>5. Standard Work Execution</w:t>
      </w:r>
    </w:p>
    <w:p>
      <w:pPr>
        <w:pStyle w:val="Heading2"/>
      </w:pPr>
      <w:r>
        <w:t>5.1 Plan only to the level needed</w:t>
      </w:r>
    </w:p>
    <w:p>
      <w:pPr/>
      <w:r>
        <w:rPr>
          <w:rFonts w:ascii="Aptos" w:hAnsi="Aptos"/>
          <w:color w:val="17212B"/>
          <w:sz w:val="21"/>
        </w:rPr>
        <w:t>Use a short plan for multi-step work. The plan should identify the source, affected downstream consumers, verification method, and approval gate. Do not create duplicate versions, parallel owners, or new systems when the current source can be repaired or extended safely.</w:t>
      </w:r>
    </w:p>
    <w:p>
      <w:pPr>
        <w:pStyle w:val="Heading2"/>
      </w:pPr>
      <w:r>
        <w:t>5.2 Prepare non-destructively</w:t>
      </w:r>
    </w:p>
    <w:p>
      <w:pPr>
        <w:pStyle w:val="ListBullet"/>
      </w:pPr>
      <w:r>
        <w:rPr>
          <w:rFonts w:ascii="Aptos" w:hAnsi="Aptos"/>
          <w:color w:val="17212B"/>
          <w:sz w:val="20"/>
        </w:rPr>
        <w:t>Preserve originals and create revisions separately.</w:t>
      </w:r>
    </w:p>
    <w:p>
      <w:pPr>
        <w:pStyle w:val="ListBullet"/>
      </w:pPr>
      <w:r>
        <w:rPr>
          <w:rFonts w:ascii="Aptos" w:hAnsi="Aptos"/>
          <w:color w:val="17212B"/>
          <w:sz w:val="20"/>
        </w:rPr>
        <w:t>Keep one current review candidate; mark older versions historical or superseded.</w:t>
      </w:r>
    </w:p>
    <w:p>
      <w:pPr>
        <w:pStyle w:val="ListBullet"/>
      </w:pPr>
      <w:r>
        <w:rPr>
          <w:rFonts w:ascii="Aptos" w:hAnsi="Aptos"/>
          <w:color w:val="17212B"/>
          <w:sz w:val="20"/>
        </w:rPr>
        <w:t>Use reversible, local preparation until external action is approved.</w:t>
      </w:r>
    </w:p>
    <w:p>
      <w:pPr>
        <w:pStyle w:val="ListBullet"/>
      </w:pPr>
      <w:r>
        <w:rPr>
          <w:rFonts w:ascii="Aptos" w:hAnsi="Aptos"/>
          <w:color w:val="17212B"/>
          <w:sz w:val="20"/>
        </w:rPr>
        <w:t>Do not insert secrets, personal identifiers, credentials, or bank details into working notes or ordinary chat.</w:t>
      </w:r>
    </w:p>
    <w:p>
      <w:pPr>
        <w:pStyle w:val="ListBullet"/>
      </w:pPr>
      <w:r>
        <w:rPr>
          <w:rFonts w:ascii="Aptos" w:hAnsi="Aptos"/>
          <w:color w:val="17212B"/>
          <w:sz w:val="20"/>
        </w:rPr>
        <w:t>Use the least costly reliable method; reuse verified work and templates.</w:t>
      </w:r>
    </w:p>
    <w:p>
      <w:pPr>
        <w:pStyle w:val="Heading2"/>
      </w:pPr>
      <w:r>
        <w:t>5.3 Review in the use format</w:t>
      </w:r>
    </w:p>
    <w:p>
      <w:pPr/>
      <w:r>
        <w:rPr>
          <w:rFonts w:ascii="Aptos" w:hAnsi="Aptos"/>
          <w:color w:val="17212B"/>
          <w:sz w:val="21"/>
        </w:rPr>
        <w:t>A document is reviewed as a rendered document, a website as a local or public page, a spreadsheet through formula and value checks, a system change through provider readback, and a communication as the exact final message with recipients and attachments. Structural checks alone are not a substitute for the real-use view.</w:t>
      </w:r>
    </w:p>
    <w:p>
      <w:pPr>
        <w:pStyle w:val="Heading2"/>
      </w:pPr>
      <w:r>
        <w:t>5.4 Approval packet</w:t>
      </w:r>
    </w:p>
    <w:p>
      <w:pPr>
        <w:pStyle w:val="Checklist"/>
      </w:pPr>
      <w:r>
        <w:rPr>
          <w:rFonts w:ascii="Arial" w:hAnsi="Arial"/>
          <w:color w:val="2E74B5"/>
          <w:sz w:val="21"/>
        </w:rPr>
        <w:t xml:space="preserve">☐  </w:t>
      </w:r>
      <w:r>
        <w:rPr>
          <w:rFonts w:ascii="Aptos" w:hAnsi="Aptos"/>
          <w:color w:val="17212B"/>
          <w:sz w:val="20"/>
        </w:rPr>
        <w:t>Exact action and entity are named.</w:t>
      </w:r>
    </w:p>
    <w:p>
      <w:pPr>
        <w:pStyle w:val="Checklist"/>
      </w:pPr>
      <w:r>
        <w:rPr>
          <w:rFonts w:ascii="Arial" w:hAnsi="Arial"/>
          <w:color w:val="2E74B5"/>
          <w:sz w:val="21"/>
        </w:rPr>
        <w:t xml:space="preserve">☐  </w:t>
      </w:r>
      <w:r>
        <w:rPr>
          <w:rFonts w:ascii="Aptos" w:hAnsi="Aptos"/>
          <w:color w:val="17212B"/>
          <w:sz w:val="20"/>
        </w:rPr>
        <w:t>Final content, cost, terms, destination, recipients, or target are attached or quoted.</w:t>
      </w:r>
    </w:p>
    <w:p>
      <w:pPr>
        <w:pStyle w:val="Checklist"/>
      </w:pPr>
      <w:r>
        <w:rPr>
          <w:rFonts w:ascii="Arial" w:hAnsi="Arial"/>
          <w:color w:val="2E74B5"/>
          <w:sz w:val="21"/>
        </w:rPr>
        <w:t xml:space="preserve">☐  </w:t>
      </w:r>
      <w:r>
        <w:rPr>
          <w:rFonts w:ascii="Aptos" w:hAnsi="Aptos"/>
          <w:color w:val="17212B"/>
          <w:sz w:val="20"/>
        </w:rPr>
        <w:t>Material risks, conflicts, unavailable sources, and professional-review needs are stated.</w:t>
      </w:r>
    </w:p>
    <w:p>
      <w:pPr>
        <w:pStyle w:val="Checklist"/>
      </w:pPr>
      <w:r>
        <w:rPr>
          <w:rFonts w:ascii="Arial" w:hAnsi="Arial"/>
          <w:color w:val="2E74B5"/>
          <w:sz w:val="21"/>
        </w:rPr>
        <w:t xml:space="preserve">☐  </w:t>
      </w:r>
      <w:r>
        <w:rPr>
          <w:rFonts w:ascii="Aptos" w:hAnsi="Aptos"/>
          <w:color w:val="17212B"/>
          <w:sz w:val="20"/>
        </w:rPr>
        <w:t>The approver can answer approve, revise, or decline without reconstructing the work.</w:t>
      </w:r>
    </w:p>
    <w:p>
      <w:pPr>
        <w:pStyle w:val="Checklist"/>
      </w:pPr>
      <w:r>
        <w:rPr>
          <w:rFonts w:ascii="Arial" w:hAnsi="Arial"/>
          <w:color w:val="2E74B5"/>
          <w:sz w:val="21"/>
        </w:rPr>
        <w:t xml:space="preserve">☐  </w:t>
      </w:r>
      <w:r>
        <w:rPr>
          <w:rFonts w:ascii="Aptos" w:hAnsi="Aptos"/>
          <w:color w:val="17212B"/>
          <w:sz w:val="20"/>
        </w:rPr>
        <w:t>The execution and verification steps are ready but have not crossed the approval boundary.</w:t>
      </w:r>
    </w:p>
    <w:p>
      <w:pPr>
        <w:pStyle w:val="Heading2"/>
      </w:pPr>
      <w:r>
        <w:t>5.5 Execute and verify</w:t>
      </w:r>
    </w:p>
    <w:p>
      <w:pPr/>
      <w:r>
        <w:rPr>
          <w:rFonts w:ascii="Aptos" w:hAnsi="Aptos"/>
          <w:color w:val="17212B"/>
          <w:sz w:val="21"/>
        </w:rPr>
        <w:t>After approval, the authorized person executes the exact action. Immediately verify the result using an independent readback or receipt. Record what happened, when, by whom, for which entity, under which approval, and where the proof is stored. If the result differs, record the discrepancy and reopen the item.</w:t>
      </w:r>
    </w:p>
    <w:p>
      <w:pPr>
        <w:pStyle w:val="Heading2"/>
        <w:pageBreakBefore/>
      </w:pPr>
      <w:r>
        <w:t>5.6 Decision-ready brief</w:t>
      </w:r>
    </w:p>
    <w:p>
      <w:pPr/>
      <w:r>
        <w:rPr>
          <w:rFonts w:ascii="Aptos" w:hAnsi="Aptos"/>
          <w:color w:val="17212B"/>
          <w:sz w:val="21"/>
        </w:rPr>
        <w:t>A decision brief is ready when the decision owner can act without reconstructing the file history. Use the following order:</w:t>
      </w:r>
    </w:p>
    <w:p>
      <w:pPr>
        <w:spacing w:after="80" w:line="276" w:lineRule="auto"/>
        <w:numPr>
          <w:ilvl w:val="0"/>
          <w:numId w:val="12"/>
        </w:numPr>
      </w:pPr>
      <w:r>
        <w:rPr>
          <w:rFonts w:ascii="Aptos" w:hAnsi="Aptos"/>
          <w:color w:val="17212B"/>
          <w:sz w:val="20"/>
        </w:rPr>
        <w:t>Decision requested — one sentence naming the action, entity, and deadline.</w:t>
      </w:r>
    </w:p>
    <w:p>
      <w:pPr>
        <w:spacing w:after="80" w:line="276" w:lineRule="auto"/>
        <w:numPr>
          <w:ilvl w:val="0"/>
          <w:numId w:val="12"/>
        </w:numPr>
      </w:pPr>
      <w:r>
        <w:rPr>
          <w:rFonts w:ascii="Aptos" w:hAnsi="Aptos"/>
          <w:color w:val="17212B"/>
          <w:sz w:val="20"/>
        </w:rPr>
        <w:t>Recommendation — the proposed choice and why it best meets the outcome and constraints.</w:t>
      </w:r>
    </w:p>
    <w:p>
      <w:pPr>
        <w:spacing w:after="80" w:line="276" w:lineRule="auto"/>
        <w:numPr>
          <w:ilvl w:val="0"/>
          <w:numId w:val="12"/>
        </w:numPr>
      </w:pPr>
      <w:r>
        <w:rPr>
          <w:rFonts w:ascii="Aptos" w:hAnsi="Aptos"/>
          <w:color w:val="17212B"/>
          <w:sz w:val="20"/>
        </w:rPr>
        <w:t>Verified basis — controlling sources, current facts, and the date checked.</w:t>
      </w:r>
    </w:p>
    <w:p>
      <w:pPr>
        <w:spacing w:after="80" w:line="276" w:lineRule="auto"/>
        <w:numPr>
          <w:ilvl w:val="0"/>
          <w:numId w:val="12"/>
        </w:numPr>
      </w:pPr>
      <w:r>
        <w:rPr>
          <w:rFonts w:ascii="Aptos" w:hAnsi="Aptos"/>
          <w:color w:val="17212B"/>
          <w:sz w:val="20"/>
        </w:rPr>
        <w:t>Options and tradeoffs — only materially different choices; include cost, time, reversibility, downstream effects, and risk.</w:t>
      </w:r>
    </w:p>
    <w:p>
      <w:pPr>
        <w:spacing w:after="80" w:line="276" w:lineRule="auto"/>
        <w:numPr>
          <w:ilvl w:val="0"/>
          <w:numId w:val="12"/>
        </w:numPr>
      </w:pPr>
      <w:r>
        <w:rPr>
          <w:rFonts w:ascii="Aptos" w:hAnsi="Aptos"/>
          <w:color w:val="17212B"/>
          <w:sz w:val="20"/>
        </w:rPr>
        <w:t>Open uncertainty — unavailable sources, assumptions, conflicts, or professional questions that could change the choice.</w:t>
      </w:r>
    </w:p>
    <w:p>
      <w:pPr>
        <w:spacing w:after="80" w:line="276" w:lineRule="auto"/>
        <w:numPr>
          <w:ilvl w:val="0"/>
          <w:numId w:val="12"/>
        </w:numPr>
      </w:pPr>
      <w:r>
        <w:rPr>
          <w:rFonts w:ascii="Aptos" w:hAnsi="Aptos"/>
          <w:color w:val="17212B"/>
          <w:sz w:val="20"/>
        </w:rPr>
        <w:t>Execution package — exact content, amount, terms, destination, owner, verification method, and rollback or recovery path.</w:t>
      </w:r>
    </w:p>
    <w:tbl>
      <w:tblPr>
        <w:tblW w:type="dxa" w:w="9360"/>
        <w:jc w:val="left"/>
        <w:tblLayout w:type="fixed"/>
        <w:tblLook w:firstColumn="1" w:firstRow="1" w:lastColumn="0" w:lastRow="0" w:noHBand="0" w:noVBand="1" w:val="04A0"/>
        <w:tblInd w:w="12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Pr>
      <w:tblGrid>
        <w:gridCol w:w="9360"/>
      </w:tblGrid>
      <w:tr>
        <w:trPr>
          <w:tblHeader w:val="true"/>
        </w:trPr>
        <w:tc>
          <w:tcPr>
            <w:tcW w:type="dxa" w:w="9360"/>
            <w:tcMar>
              <w:top w:w="130" w:type="dxa"/>
              <w:start w:w="180" w:type="dxa"/>
              <w:bottom w:w="130" w:type="dxa"/>
              <w:end w:w="180" w:type="dxa"/>
            </w:tcMar>
            <w:vAlign w:val="center"/>
            <w:shd w:fill="E8EEF5"/>
          </w:tcPr>
          <w:p>
            <w:pPr>
              <w:spacing w:after="0"/>
            </w:pPr>
            <w:r>
              <w:rPr>
                <w:rFonts w:ascii="Aptos" w:hAnsi="Aptos"/>
                <w:b/>
                <w:color w:val="17365D"/>
                <w:sz w:val="19"/>
              </w:rPr>
              <w:t xml:space="preserve">ESCALATE DECISIONS, NOT RAW ACTIVITY  </w:t>
            </w:r>
            <w:r>
              <w:rPr>
                <w:rFonts w:ascii="Aptos" w:hAnsi="Aptos"/>
                <w:color w:val="17212B"/>
                <w:sz w:val="19"/>
              </w:rPr>
              <w:t>Do not send the owner a pile of links, drafts, or unresolved notes when the work can be reduced to a supported recommendation and an exact approval request.</w:t>
            </w:r>
          </w:p>
        </w:tc>
      </w:tr>
    </w:tbl>
    <w:p>
      <w:pPr>
        <w:spacing w:after="20"/>
      </w:pPr>
    </w:p>
    <w:p>
      <w:pPr>
        <w:pStyle w:val="Heading1"/>
        <w:pageBreakBefore/>
      </w:pPr>
      <w:r>
        <w:t>6. Operating Cadence and Handoffs</w:t>
      </w:r>
    </w:p>
    <w:p>
      <w:pPr>
        <w:pStyle w:val="Heading2"/>
      </w:pPr>
      <w:r>
        <w:t>6.1 Weekly cadence</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100"/>
        <w:gridCol w:w="7260"/>
      </w:tblGrid>
      <w:tr>
        <w:trPr>
          <w:tblHeader w:val="true"/>
        </w:trPr>
        <w:tc>
          <w:tcPr>
            <w:tcW w:type="dxa" w:w="2100"/>
            <w:tcMar>
              <w:top w:w="100" w:type="dxa"/>
              <w:start w:w="120" w:type="dxa"/>
              <w:bottom w:w="100" w:type="dxa"/>
              <w:end w:w="120" w:type="dxa"/>
            </w:tcMar>
            <w:vAlign w:val="center"/>
            <w:shd w:fill="17365D"/>
          </w:tcPr>
          <w:p>
            <w:pPr>
              <w:spacing w:after="0"/>
              <w:ind w:left="0" w:firstLine="0"/>
            </w:pPr>
            <w:r>
              <w:rPr>
                <w:rFonts w:ascii="Aptos" w:hAnsi="Aptos"/>
                <w:b/>
                <w:color w:val="FFFFFF"/>
                <w:sz w:val="18"/>
              </w:rPr>
              <w:t>Cadence</w:t>
            </w:r>
          </w:p>
        </w:tc>
        <w:tc>
          <w:tcPr>
            <w:tcW w:type="dxa" w:w="7260"/>
            <w:tcMar>
              <w:top w:w="100" w:type="dxa"/>
              <w:start w:w="120" w:type="dxa"/>
              <w:bottom w:w="100" w:type="dxa"/>
              <w:end w:w="120" w:type="dxa"/>
            </w:tcMar>
            <w:vAlign w:val="center"/>
            <w:shd w:fill="17365D"/>
          </w:tcPr>
          <w:p>
            <w:pPr>
              <w:spacing w:after="0"/>
              <w:ind w:left="0" w:firstLine="0"/>
            </w:pPr>
            <w:r>
              <w:rPr>
                <w:rFonts w:ascii="Aptos" w:hAnsi="Aptos"/>
                <w:b/>
                <w:color w:val="FFFFFF"/>
                <w:sz w:val="18"/>
              </w:rPr>
              <w:t>Required result</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Start of week</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Select one outcome per active lane; confirm owner, source, decision window, next action, and proof.</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Midweek</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Compare reported status with the controlling source; resolve conflicts; surface only material decisions or dependencies.</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End of week</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Close only with proof; carry forward incomplete work with the same owner, next smallest action, and exact roadblock.</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Monthly</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Review recurring exceptions, access, systems, vendors, open approvals, and evidence gaps.</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Quarterly / material change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Review manual fitness, entity boundaries, source hierarchy, risk profile, and professional-review needs.</w:t>
            </w:r>
          </w:p>
        </w:tc>
      </w:tr>
    </w:tbl>
    <w:p>
      <w:pPr>
        <w:spacing w:after="0" w:line="20" w:lineRule="exact"/>
      </w:pPr>
      <w:r>
        <w:rPr>
          <w:rFonts w:ascii="Aptos" w:hAnsi="Aptos"/>
          <w:color w:val="FFFFFF"/>
          <w:sz w:val="2"/>
        </w:rPr>
        <w:t xml:space="preserve"> </w:t>
      </w:r>
    </w:p>
    <w:p>
      <w:pPr>
        <w:pStyle w:val="Heading2"/>
      </w:pPr>
      <w:r>
        <w:t>6.2 Daily start and close</w:t>
      </w:r>
    </w:p>
    <w:p>
      <w:pPr>
        <w:pStyle w:val="Heading3"/>
      </w:pPr>
      <w:r>
        <w:t>Start of a work block</w:t>
      </w:r>
    </w:p>
    <w:p>
      <w:pPr>
        <w:pStyle w:val="Checklist"/>
      </w:pPr>
      <w:r>
        <w:rPr>
          <w:rFonts w:ascii="Arial" w:hAnsi="Arial"/>
          <w:color w:val="2E74B5"/>
          <w:sz w:val="21"/>
        </w:rPr>
        <w:t xml:space="preserve">☐  </w:t>
      </w:r>
      <w:r>
        <w:rPr>
          <w:rFonts w:ascii="Aptos" w:hAnsi="Aptos"/>
          <w:color w:val="17212B"/>
          <w:sz w:val="20"/>
        </w:rPr>
        <w:t>Open the controlling work record; do not begin from an old message or download.</w:t>
      </w:r>
    </w:p>
    <w:p>
      <w:pPr>
        <w:pStyle w:val="Checklist"/>
      </w:pPr>
      <w:r>
        <w:rPr>
          <w:rFonts w:ascii="Arial" w:hAnsi="Arial"/>
          <w:color w:val="2E74B5"/>
          <w:sz w:val="21"/>
        </w:rPr>
        <w:t xml:space="preserve">☐  </w:t>
      </w:r>
      <w:r>
        <w:rPr>
          <w:rFonts w:ascii="Aptos" w:hAnsi="Aptos"/>
          <w:color w:val="17212B"/>
          <w:sz w:val="20"/>
        </w:rPr>
        <w:t>Confirm the outcome, entity, owner, source, current state, decision window, and next action.</w:t>
      </w:r>
    </w:p>
    <w:p>
      <w:pPr>
        <w:pStyle w:val="Checklist"/>
      </w:pPr>
      <w:r>
        <w:rPr>
          <w:rFonts w:ascii="Arial" w:hAnsi="Arial"/>
          <w:color w:val="2E74B5"/>
          <w:sz w:val="21"/>
        </w:rPr>
        <w:t xml:space="preserve">☐  </w:t>
      </w:r>
      <w:r>
        <w:rPr>
          <w:rFonts w:ascii="Aptos" w:hAnsi="Aptos"/>
          <w:color w:val="17212B"/>
          <w:sz w:val="20"/>
        </w:rPr>
        <w:t>Check for a changed approval, dependency, source, access state, or external deadline.</w:t>
      </w:r>
    </w:p>
    <w:p>
      <w:pPr>
        <w:pStyle w:val="Checklist"/>
      </w:pPr>
      <w:r>
        <w:rPr>
          <w:rFonts w:ascii="Arial" w:hAnsi="Arial"/>
          <w:color w:val="2E74B5"/>
          <w:sz w:val="21"/>
        </w:rPr>
        <w:t xml:space="preserve">☐  </w:t>
      </w:r>
      <w:r>
        <w:rPr>
          <w:rFonts w:ascii="Aptos" w:hAnsi="Aptos"/>
          <w:color w:val="17212B"/>
          <w:sz w:val="20"/>
        </w:rPr>
        <w:t>Choose the smallest safe step that produces reviewable evidence.</w:t>
      </w:r>
    </w:p>
    <w:p>
      <w:pPr>
        <w:pStyle w:val="Heading3"/>
      </w:pPr>
      <w:r>
        <w:t>Close of a work block</w:t>
      </w:r>
    </w:p>
    <w:p>
      <w:pPr>
        <w:pStyle w:val="Checklist"/>
      </w:pPr>
      <w:r>
        <w:rPr>
          <w:rFonts w:ascii="Arial" w:hAnsi="Arial"/>
          <w:color w:val="2E74B5"/>
          <w:sz w:val="21"/>
        </w:rPr>
        <w:t xml:space="preserve">☐  </w:t>
      </w:r>
      <w:r>
        <w:rPr>
          <w:rFonts w:ascii="Aptos" w:hAnsi="Aptos"/>
          <w:color w:val="17212B"/>
          <w:sz w:val="20"/>
        </w:rPr>
        <w:t>Save the candidate or evidence in the approved location; preserve the source and prior version.</w:t>
      </w:r>
    </w:p>
    <w:p>
      <w:pPr>
        <w:pStyle w:val="Checklist"/>
      </w:pPr>
      <w:r>
        <w:rPr>
          <w:rFonts w:ascii="Arial" w:hAnsi="Arial"/>
          <w:color w:val="2E74B5"/>
          <w:sz w:val="21"/>
        </w:rPr>
        <w:t xml:space="preserve">☐  </w:t>
      </w:r>
      <w:r>
        <w:rPr>
          <w:rFonts w:ascii="Aptos" w:hAnsi="Aptos"/>
          <w:color w:val="17212B"/>
          <w:sz w:val="20"/>
        </w:rPr>
        <w:t>Record actual state, material change, discrepancy, and sources checked.</w:t>
      </w:r>
    </w:p>
    <w:p>
      <w:pPr>
        <w:pStyle w:val="Checklist"/>
      </w:pPr>
      <w:r>
        <w:rPr>
          <w:rFonts w:ascii="Arial" w:hAnsi="Arial"/>
          <w:color w:val="2E74B5"/>
          <w:sz w:val="21"/>
        </w:rPr>
        <w:t xml:space="preserve">☐  </w:t>
      </w:r>
      <w:r>
        <w:rPr>
          <w:rFonts w:ascii="Aptos" w:hAnsi="Aptos"/>
          <w:color w:val="17212B"/>
          <w:sz w:val="20"/>
        </w:rPr>
        <w:t>Return proof or a decision-ready approval packet; do not report completion without evidence.</w:t>
      </w:r>
    </w:p>
    <w:p>
      <w:pPr>
        <w:pStyle w:val="Checklist"/>
      </w:pPr>
      <w:r>
        <w:rPr>
          <w:rFonts w:ascii="Arial" w:hAnsi="Arial"/>
          <w:color w:val="2E74B5"/>
          <w:sz w:val="21"/>
        </w:rPr>
        <w:t xml:space="preserve">☐  </w:t>
      </w:r>
      <w:r>
        <w:rPr>
          <w:rFonts w:ascii="Aptos" w:hAnsi="Aptos"/>
          <w:color w:val="17212B"/>
          <w:sz w:val="20"/>
        </w:rPr>
        <w:t>Name the next action, owner, gate, and follow-up date so another person can resume without reconstruction.</w:t>
      </w:r>
    </w:p>
    <w:p>
      <w:pPr>
        <w:pStyle w:val="Checklist"/>
      </w:pPr>
      <w:r>
        <w:rPr>
          <w:rFonts w:ascii="Arial" w:hAnsi="Arial"/>
          <w:color w:val="2E74B5"/>
          <w:sz w:val="21"/>
        </w:rPr>
        <w:t xml:space="preserve">☐  </w:t>
      </w:r>
      <w:r>
        <w:rPr>
          <w:rFonts w:ascii="Aptos" w:hAnsi="Aptos"/>
          <w:color w:val="17212B"/>
          <w:sz w:val="20"/>
        </w:rPr>
        <w:t>Remove local temporary copies containing restricted material when authorized and no longer needed; do not delete records subject to retention or hold requirements.</w:t>
      </w:r>
    </w:p>
    <w:p>
      <w:pPr>
        <w:pStyle w:val="Heading2"/>
      </w:pPr>
      <w:r>
        <w:t>6.3 Handoff standard</w:t>
      </w:r>
    </w:p>
    <w:p>
      <w:pPr>
        <w:pStyle w:val="Checklist"/>
      </w:pPr>
      <w:r>
        <w:rPr>
          <w:rFonts w:ascii="Arial" w:hAnsi="Arial"/>
          <w:color w:val="2E74B5"/>
          <w:sz w:val="21"/>
        </w:rPr>
        <w:t xml:space="preserve">☐  </w:t>
      </w:r>
      <w:r>
        <w:rPr>
          <w:rFonts w:ascii="Aptos" w:hAnsi="Aptos"/>
          <w:color w:val="17212B"/>
          <w:sz w:val="20"/>
        </w:rPr>
        <w:t>Outcome and actual current status are stated first.</w:t>
      </w:r>
    </w:p>
    <w:p>
      <w:pPr>
        <w:pStyle w:val="Checklist"/>
      </w:pPr>
      <w:r>
        <w:rPr>
          <w:rFonts w:ascii="Arial" w:hAnsi="Arial"/>
          <w:color w:val="2E74B5"/>
          <w:sz w:val="21"/>
        </w:rPr>
        <w:t xml:space="preserve">☐  </w:t>
      </w:r>
      <w:r>
        <w:rPr>
          <w:rFonts w:ascii="Aptos" w:hAnsi="Aptos"/>
          <w:color w:val="17212B"/>
          <w:sz w:val="20"/>
        </w:rPr>
        <w:t>Accountable lead and supporting contributors are named.</w:t>
      </w:r>
    </w:p>
    <w:p>
      <w:pPr>
        <w:pStyle w:val="Checklist"/>
      </w:pPr>
      <w:r>
        <w:rPr>
          <w:rFonts w:ascii="Arial" w:hAnsi="Arial"/>
          <w:color w:val="2E74B5"/>
          <w:sz w:val="21"/>
        </w:rPr>
        <w:t xml:space="preserve">☐  </w:t>
      </w:r>
      <w:r>
        <w:rPr>
          <w:rFonts w:ascii="Aptos" w:hAnsi="Aptos"/>
          <w:color w:val="17212B"/>
          <w:sz w:val="20"/>
        </w:rPr>
        <w:t>Controlling source and proof / working-file location are provided.</w:t>
      </w:r>
    </w:p>
    <w:p>
      <w:pPr>
        <w:pStyle w:val="Checklist"/>
      </w:pPr>
      <w:r>
        <w:rPr>
          <w:rFonts w:ascii="Arial" w:hAnsi="Arial"/>
          <w:color w:val="2E74B5"/>
          <w:sz w:val="21"/>
        </w:rPr>
        <w:t xml:space="preserve">☐  </w:t>
      </w:r>
      <w:r>
        <w:rPr>
          <w:rFonts w:ascii="Aptos" w:hAnsi="Aptos"/>
          <w:color w:val="17212B"/>
          <w:sz w:val="20"/>
        </w:rPr>
        <w:t>Completed, pending, parked, and superseded items are distinguished.</w:t>
      </w:r>
    </w:p>
    <w:p>
      <w:pPr>
        <w:pStyle w:val="Checklist"/>
      </w:pPr>
      <w:r>
        <w:rPr>
          <w:rFonts w:ascii="Arial" w:hAnsi="Arial"/>
          <w:color w:val="2E74B5"/>
          <w:sz w:val="21"/>
        </w:rPr>
        <w:t xml:space="preserve">☐  </w:t>
      </w:r>
      <w:r>
        <w:rPr>
          <w:rFonts w:ascii="Aptos" w:hAnsi="Aptos"/>
          <w:color w:val="17212B"/>
          <w:sz w:val="20"/>
        </w:rPr>
        <w:t>Unavailable sources and material discrepancies are explicit.</w:t>
      </w:r>
    </w:p>
    <w:p>
      <w:pPr>
        <w:pStyle w:val="Checklist"/>
      </w:pPr>
      <w:r>
        <w:rPr>
          <w:rFonts w:ascii="Arial" w:hAnsi="Arial"/>
          <w:color w:val="2E74B5"/>
          <w:sz w:val="21"/>
        </w:rPr>
        <w:t xml:space="preserve">☐  </w:t>
      </w:r>
      <w:r>
        <w:rPr>
          <w:rFonts w:ascii="Aptos" w:hAnsi="Aptos"/>
          <w:color w:val="17212B"/>
          <w:sz w:val="20"/>
        </w:rPr>
        <w:t>Next required output, next action, decision owner, and due window are clear.</w:t>
      </w:r>
    </w:p>
    <w:p>
      <w:pPr>
        <w:pStyle w:val="Heading1"/>
        <w:pageBreakBefore/>
      </w:pPr>
      <w:r>
        <w:t>7. Document and Records Control</w:t>
      </w:r>
    </w:p>
    <w:p>
      <w:pPr>
        <w:pStyle w:val="Heading2"/>
      </w:pPr>
      <w:r>
        <w:t>7.1 One controlling source</w:t>
      </w:r>
    </w:p>
    <w:p>
      <w:pPr/>
      <w:r>
        <w:rPr>
          <w:rFonts w:ascii="Aptos" w:hAnsi="Aptos"/>
          <w:color w:val="17212B"/>
          <w:sz w:val="21"/>
        </w:rPr>
        <w:t>Each recurring process has one controlling source. Companion checklists may implement the process, but they do not silently create policy. Task lists assign work; they do not supersede the manual. Meeting notes and chat provide context; they do not prove completion.</w:t>
      </w:r>
    </w:p>
    <w:p>
      <w:pPr>
        <w:pStyle w:val="Heading2"/>
      </w:pPr>
      <w:r>
        <w:t>7.2 Document states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300"/>
        <w:gridCol w:w="7060"/>
      </w:tblGrid>
      <w:tr>
        <w:trPr>
          <w:tblHeader w:val="true"/>
        </w:trPr>
        <w:tc>
          <w:tcPr>
            <w:tcW w:type="dxa" w:w="2300"/>
            <w:tcMar>
              <w:top w:w="100" w:type="dxa"/>
              <w:start w:w="120" w:type="dxa"/>
              <w:bottom w:w="100" w:type="dxa"/>
              <w:end w:w="120" w:type="dxa"/>
            </w:tcMar>
            <w:vAlign w:val="center"/>
            <w:shd w:fill="17365D"/>
          </w:tcPr>
          <w:p>
            <w:pPr>
              <w:spacing w:after="0"/>
              <w:ind w:left="0" w:firstLine="0"/>
            </w:pPr>
            <w:r>
              <w:rPr>
                <w:rFonts w:ascii="Aptos" w:hAnsi="Aptos"/>
                <w:b/>
                <w:color w:val="FFFFFF"/>
                <w:sz w:val="18"/>
              </w:rPr>
              <w:t>State</w:t>
            </w:r>
          </w:p>
        </w:tc>
        <w:tc>
          <w:tcPr>
            <w:tcW w:type="dxa" w:w="7060"/>
            <w:tcMar>
              <w:top w:w="100" w:type="dxa"/>
              <w:start w:w="120" w:type="dxa"/>
              <w:bottom w:w="100" w:type="dxa"/>
              <w:end w:w="120" w:type="dxa"/>
            </w:tcMar>
            <w:vAlign w:val="center"/>
            <w:shd w:fill="17365D"/>
          </w:tcPr>
          <w:p>
            <w:pPr>
              <w:spacing w:after="0"/>
              <w:ind w:left="0" w:firstLine="0"/>
            </w:pPr>
            <w:r>
              <w:rPr>
                <w:rFonts w:ascii="Aptos" w:hAnsi="Aptos"/>
                <w:b/>
                <w:color w:val="FFFFFF"/>
                <w:sz w:val="18"/>
              </w:rPr>
              <w:t>Use</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Current</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The named controlling source for ongoing use.</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Review candidate</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The one active proposed revision awaiting approval.</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Issued / operative</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Approved for use; effective date and owner are recorded.</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Historical / superseded</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Preserved for lineage; clearly labeled non-controlling.</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Executed record</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Signed, filed, sent, accepted, paid, or otherwise completed with evidence.</w:t>
            </w:r>
          </w:p>
        </w:tc>
      </w:tr>
    </w:tbl>
    <w:p>
      <w:pPr>
        <w:spacing w:after="0" w:line="20" w:lineRule="exact"/>
      </w:pPr>
      <w:r>
        <w:rPr>
          <w:rFonts w:ascii="Aptos" w:hAnsi="Aptos"/>
          <w:color w:val="FFFFFF"/>
          <w:sz w:val="2"/>
        </w:rPr>
        <w:t xml:space="preserve"> </w:t>
      </w:r>
    </w:p>
    <w:p>
      <w:pPr>
        <w:pStyle w:val="Heading2"/>
      </w:pPr>
      <w:r>
        <w:t>7.3 File control rules</w:t>
      </w:r>
    </w:p>
    <w:p>
      <w:pPr>
        <w:pStyle w:val="ListBullet"/>
      </w:pPr>
      <w:r>
        <w:rPr>
          <w:rFonts w:ascii="Aptos" w:hAnsi="Aptos"/>
          <w:color w:val="17212B"/>
          <w:sz w:val="20"/>
        </w:rPr>
        <w:t>Use a clear title, entity, document type, status, and date or version where useful.</w:t>
      </w:r>
    </w:p>
    <w:p>
      <w:pPr>
        <w:pStyle w:val="ListBullet"/>
      </w:pPr>
      <w:r>
        <w:rPr>
          <w:rFonts w:ascii="Aptos" w:hAnsi="Aptos"/>
          <w:color w:val="17212B"/>
          <w:sz w:val="20"/>
        </w:rPr>
        <w:t>Do not label a file approved, executed, signed, filed, final, live, or published unless the evidence supports that exact state.</w:t>
      </w:r>
    </w:p>
    <w:p>
      <w:pPr>
        <w:pStyle w:val="ListBullet"/>
      </w:pPr>
      <w:r>
        <w:rPr>
          <w:rFonts w:ascii="Aptos" w:hAnsi="Aptos"/>
          <w:color w:val="17212B"/>
          <w:sz w:val="20"/>
        </w:rPr>
        <w:t>Do not call files exact duplicates without an exact comparison.</w:t>
      </w:r>
    </w:p>
    <w:p>
      <w:pPr>
        <w:pStyle w:val="ListBullet"/>
      </w:pPr>
      <w:r>
        <w:rPr>
          <w:rFonts w:ascii="Aptos" w:hAnsi="Aptos"/>
          <w:color w:val="17212B"/>
          <w:sz w:val="20"/>
        </w:rPr>
        <w:t>Keep source records, working files, review candidates, executed proof, and archives separate.</w:t>
      </w:r>
    </w:p>
    <w:p>
      <w:pPr>
        <w:pStyle w:val="ListBullet"/>
      </w:pPr>
      <w:r>
        <w:rPr>
          <w:rFonts w:ascii="Aptos" w:hAnsi="Aptos"/>
          <w:color w:val="17212B"/>
          <w:sz w:val="20"/>
        </w:rPr>
        <w:t>Hash final local artifacts when integrity or lineage materially matters.</w:t>
      </w:r>
    </w:p>
    <w:p>
      <w:pPr>
        <w:pStyle w:val="ListBullet"/>
      </w:pPr>
      <w:r>
        <w:rPr>
          <w:rFonts w:ascii="Aptos" w:hAnsi="Aptos"/>
          <w:color w:val="17212B"/>
          <w:sz w:val="20"/>
        </w:rPr>
        <w:t>Record professional advice with source, date, scope, and the resulting owner decision; do not overstate it.</w:t>
      </w:r>
    </w:p>
    <w:p>
      <w:pPr>
        <w:pStyle w:val="Heading2"/>
      </w:pPr>
      <w:r>
        <w:t>7.4 Completion record</w:t>
      </w:r>
    </w:p>
    <w:p>
      <w:pPr/>
      <w:r>
        <w:rPr>
          <w:rFonts w:ascii="Aptos" w:hAnsi="Aptos"/>
          <w:color w:val="17212B"/>
          <w:sz w:val="21"/>
        </w:rPr>
        <w:t>Every completed item records: object; entity; accountable owner; controlling source; approval; execution date; verifier; verification method; proof location; and any follow-up. A filename, task status, or verbal report alone is insufficient.</w:t>
      </w:r>
    </w:p>
    <w:p>
      <w:pPr>
        <w:pStyle w:val="Heading1"/>
        <w:pageBreakBefore/>
      </w:pPr>
      <w:r>
        <w:t>8. Information Handling, Privacy, and Retention</w:t>
      </w:r>
    </w:p>
    <w:p>
      <w:pPr>
        <w:pStyle w:val="Heading2"/>
      </w:pPr>
      <w:r>
        <w:t>8.1 Working classifications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800"/>
        <w:gridCol w:w="7560"/>
      </w:tblGrid>
      <w:tr>
        <w:trPr>
          <w:tblHeader w:val="true"/>
        </w:trPr>
        <w:tc>
          <w:tcPr>
            <w:tcW w:type="dxa" w:w="1800"/>
            <w:tcMar>
              <w:top w:w="100" w:type="dxa"/>
              <w:start w:w="120" w:type="dxa"/>
              <w:bottom w:w="100" w:type="dxa"/>
              <w:end w:w="120" w:type="dxa"/>
            </w:tcMar>
            <w:vAlign w:val="center"/>
            <w:shd w:fill="17365D"/>
          </w:tcPr>
          <w:p>
            <w:pPr>
              <w:spacing w:after="0"/>
              <w:ind w:left="0" w:firstLine="0"/>
            </w:pPr>
            <w:r>
              <w:rPr>
                <w:rFonts w:ascii="Aptos" w:hAnsi="Aptos"/>
                <w:b/>
                <w:color w:val="FFFFFF"/>
                <w:sz w:val="18"/>
              </w:rPr>
              <w:t>Class</w:t>
            </w:r>
          </w:p>
        </w:tc>
        <w:tc>
          <w:tcPr>
            <w:tcW w:type="dxa" w:w="7560"/>
            <w:tcMar>
              <w:top w:w="100" w:type="dxa"/>
              <w:start w:w="120" w:type="dxa"/>
              <w:bottom w:w="100" w:type="dxa"/>
              <w:end w:w="120" w:type="dxa"/>
            </w:tcMar>
            <w:vAlign w:val="center"/>
            <w:shd w:fill="17365D"/>
          </w:tcPr>
          <w:p>
            <w:pPr>
              <w:spacing w:after="0"/>
              <w:ind w:left="0" w:firstLine="0"/>
            </w:pPr>
            <w:r>
              <w:rPr>
                <w:rFonts w:ascii="Aptos" w:hAnsi="Aptos"/>
                <w:b/>
                <w:color w:val="FFFFFF"/>
                <w:sz w:val="18"/>
              </w:rPr>
              <w:t>Handling standard</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Public</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Approved for public release. Public status must be verified; draft marketing copy is not public.</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Internal</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Ordinary Company operating information for authorized team use.</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Confidential</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Client, vendor, contract, financial, strategy, or non-public operating information; share only by business need.</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Restricted</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Credentials, identity, banking, tax, payroll, medical, personnel, legal, recovery-key, or other high-impact data; store only in the approved restricted system.</w:t>
            </w:r>
          </w:p>
        </w:tc>
      </w:tr>
    </w:tbl>
    <w:p>
      <w:pPr>
        <w:spacing w:after="0" w:line="20" w:lineRule="exact"/>
      </w:pPr>
      <w:r>
        <w:rPr>
          <w:rFonts w:ascii="Aptos" w:hAnsi="Aptos"/>
          <w:color w:val="FFFFFF"/>
          <w:sz w:val="2"/>
        </w:rPr>
        <w:t xml:space="preserve"> </w:t>
      </w:r>
    </w:p>
    <w:p>
      <w:pPr>
        <w:pStyle w:val="Heading2"/>
      </w:pPr>
      <w:r>
        <w:t>8.2 Minimum handling rules</w:t>
      </w:r>
    </w:p>
    <w:p>
      <w:pPr>
        <w:pStyle w:val="ListBullet"/>
      </w:pPr>
      <w:r>
        <w:rPr>
          <w:rFonts w:ascii="Aptos" w:hAnsi="Aptos"/>
          <w:color w:val="17212B"/>
          <w:sz w:val="20"/>
        </w:rPr>
        <w:t>Collect only what the approved outcome requires.</w:t>
      </w:r>
    </w:p>
    <w:p>
      <w:pPr>
        <w:pStyle w:val="ListBullet"/>
      </w:pPr>
      <w:r>
        <w:rPr>
          <w:rFonts w:ascii="Aptos" w:hAnsi="Aptos"/>
          <w:color w:val="17212B"/>
          <w:sz w:val="20"/>
        </w:rPr>
        <w:t>Keep passwords, verification codes, recovery keys, full taxpayer IDs, bank details, identity documents, medical data, and private signatures out of ordinary chat, email, task boards, and team packets.</w:t>
      </w:r>
    </w:p>
    <w:p>
      <w:pPr>
        <w:pStyle w:val="ListBullet"/>
      </w:pPr>
      <w:r>
        <w:rPr>
          <w:rFonts w:ascii="Aptos" w:hAnsi="Aptos"/>
          <w:color w:val="17212B"/>
          <w:sz w:val="20"/>
        </w:rPr>
        <w:t>Use secure, approved transfer and storage for restricted material. Confirm the destination account and inherited access before placing records there.</w:t>
      </w:r>
    </w:p>
    <w:p>
      <w:pPr>
        <w:pStyle w:val="ListBullet"/>
      </w:pPr>
      <w:r>
        <w:rPr>
          <w:rFonts w:ascii="Aptos" w:hAnsi="Aptos"/>
          <w:color w:val="17212B"/>
          <w:sz w:val="20"/>
        </w:rPr>
        <w:t>Use least privilege and separate client/entity storage. Do not duplicate restricted records for convenience.</w:t>
      </w:r>
    </w:p>
    <w:p>
      <w:pPr>
        <w:pStyle w:val="ListBullet"/>
      </w:pPr>
      <w:r>
        <w:rPr>
          <w:rFonts w:ascii="Aptos" w:hAnsi="Aptos"/>
          <w:color w:val="17212B"/>
          <w:sz w:val="20"/>
        </w:rPr>
        <w:t>Do not change retention periods, delete records, or dispose of equipment without confirming the controlling retention, legal-hold, tax, contract, insurance, and business need.</w:t>
      </w:r>
    </w:p>
    <w:p>
      <w:pPr>
        <w:pStyle w:val="ListBullet"/>
      </w:pPr>
      <w:r>
        <w:rPr>
          <w:rFonts w:ascii="Aptos" w:hAnsi="Aptos"/>
          <w:color w:val="17212B"/>
          <w:sz w:val="20"/>
        </w:rPr>
        <w:t>Report suspected loss, misdelivery, over-sharing, or unauthorized access immediately through the incident procedure.</w:t>
      </w:r>
    </w:p>
    <w:p>
      <w:pPr>
        <w:pStyle w:val="Heading2"/>
      </w:pPr>
      <w:r>
        <w:t>8.3 Missing-item diagnosis</w:t>
      </w:r>
    </w:p>
    <w:p>
      <w:pPr/>
      <w:r>
        <w:rPr>
          <w:rFonts w:ascii="Aptos" w:hAnsi="Aptos"/>
          <w:color w:val="17212B"/>
          <w:sz w:val="21"/>
        </w:rPr>
        <w:t>Before concluding that an existing item is missing or must be recreated, search narrowly using the exact title, sender, filename, date, URL, or stable identifier across the sources authorized for the requester, owner, entity, and outcome. If a source is private, disconnected, in another account, or unavailable, record that limitation rather than inferring absence.</w:t>
      </w:r>
    </w:p>
    <w:p>
      <w:pPr>
        <w:pStyle w:val="Heading1"/>
        <w:pageBreakBefore/>
      </w:pPr>
      <w:r>
        <w:t>9. Financial, Purchasing, and Vendor Administration</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CONTROL PRINCIPLE  </w:t>
            </w:r>
            <w:r>
              <w:rPr>
                <w:rFonts w:ascii="Aptos" w:hAnsi="Aptos"/>
                <w:color w:val="17212B"/>
                <w:sz w:val="19"/>
              </w:rPr>
              <w:t>Preparation and approval are separate. A person may collect records, enter a draft, attach a receipt, or prepare a payment request without authority to release money.</w:t>
            </w:r>
          </w:p>
        </w:tc>
      </w:tr>
    </w:tbl>
    <w:p>
      <w:pPr>
        <w:spacing w:after="20"/>
      </w:pPr>
    </w:p>
    <w:p>
      <w:pPr>
        <w:pStyle w:val="Heading2"/>
      </w:pPr>
      <w:r>
        <w:t>9.1 Purchase or payment workflow</w:t>
      </w:r>
    </w:p>
    <w:p>
      <w:pPr>
        <w:spacing w:after="80" w:line="276" w:lineRule="auto"/>
        <w:numPr>
          <w:ilvl w:val="0"/>
          <w:numId w:val="13"/>
        </w:numPr>
      </w:pPr>
      <w:r>
        <w:rPr>
          <w:rFonts w:ascii="Aptos" w:hAnsi="Aptos"/>
          <w:color w:val="17212B"/>
          <w:sz w:val="20"/>
        </w:rPr>
        <w:t>Identify the correct entity, business purpose, budget or authorization basis, vendor, amount, terms, and required date.</w:t>
      </w:r>
    </w:p>
    <w:p>
      <w:pPr>
        <w:spacing w:after="80" w:line="276" w:lineRule="auto"/>
        <w:numPr>
          <w:ilvl w:val="0"/>
          <w:numId w:val="13"/>
        </w:numPr>
      </w:pPr>
      <w:r>
        <w:rPr>
          <w:rFonts w:ascii="Aptos" w:hAnsi="Aptos"/>
          <w:color w:val="17212B"/>
          <w:sz w:val="20"/>
        </w:rPr>
        <w:t>Screen related-party interests, recurring obligations, cancellation terms, data access, insurance, and specialist-review needs.</w:t>
      </w:r>
    </w:p>
    <w:p>
      <w:pPr>
        <w:spacing w:after="80" w:line="276" w:lineRule="auto"/>
        <w:numPr>
          <w:ilvl w:val="0"/>
          <w:numId w:val="13"/>
        </w:numPr>
      </w:pPr>
      <w:r>
        <w:rPr>
          <w:rFonts w:ascii="Aptos" w:hAnsi="Aptos"/>
          <w:color w:val="17212B"/>
          <w:sz w:val="20"/>
        </w:rPr>
        <w:t>Prepare the exact order, bill, reimbursement, payment, or subscription action with supporting documents.</w:t>
      </w:r>
    </w:p>
    <w:p>
      <w:pPr>
        <w:spacing w:after="80" w:line="276" w:lineRule="auto"/>
        <w:numPr>
          <w:ilvl w:val="0"/>
          <w:numId w:val="13"/>
        </w:numPr>
      </w:pPr>
      <w:r>
        <w:rPr>
          <w:rFonts w:ascii="Aptos" w:hAnsi="Aptos"/>
          <w:color w:val="17212B"/>
          <w:sz w:val="20"/>
        </w:rPr>
        <w:t>Obtain owner approval for the exact amount, vendor, terms, funding source, and action.</w:t>
      </w:r>
    </w:p>
    <w:p>
      <w:pPr>
        <w:spacing w:after="80" w:line="276" w:lineRule="auto"/>
        <w:numPr>
          <w:ilvl w:val="0"/>
          <w:numId w:val="13"/>
        </w:numPr>
      </w:pPr>
      <w:r>
        <w:rPr>
          <w:rFonts w:ascii="Aptos" w:hAnsi="Aptos"/>
          <w:color w:val="17212B"/>
          <w:sz w:val="20"/>
        </w:rPr>
        <w:t>The authorized person executes the approved action; no preparer assumes bank or payment authority.</w:t>
      </w:r>
    </w:p>
    <w:p>
      <w:pPr>
        <w:spacing w:after="80" w:line="276" w:lineRule="auto"/>
        <w:numPr>
          <w:ilvl w:val="0"/>
          <w:numId w:val="13"/>
        </w:numPr>
      </w:pPr>
      <w:r>
        <w:rPr>
          <w:rFonts w:ascii="Aptos" w:hAnsi="Aptos"/>
          <w:color w:val="17212B"/>
          <w:sz w:val="20"/>
        </w:rPr>
        <w:t>Retain receipt, confirmation, contract, delivery evidence, and correct entity/accounting classification.</w:t>
      </w:r>
    </w:p>
    <w:p>
      <w:pPr>
        <w:spacing w:after="80" w:line="276" w:lineRule="auto"/>
        <w:numPr>
          <w:ilvl w:val="0"/>
          <w:numId w:val="13"/>
        </w:numPr>
      </w:pPr>
      <w:r>
        <w:rPr>
          <w:rFonts w:ascii="Aptos" w:hAnsi="Aptos"/>
          <w:color w:val="17212B"/>
          <w:sz w:val="20"/>
        </w:rPr>
        <w:t>Reconcile the result and record any variance, refund, dispute, renewal, or open obligation.</w:t>
      </w:r>
    </w:p>
    <w:p>
      <w:pPr>
        <w:pStyle w:val="Heading2"/>
      </w:pPr>
      <w:r>
        <w:t>9.2 Financial boundaries</w:t>
      </w:r>
    </w:p>
    <w:p>
      <w:pPr>
        <w:pStyle w:val="ListBullet"/>
      </w:pPr>
      <w:r>
        <w:rPr>
          <w:rFonts w:ascii="Aptos" w:hAnsi="Aptos"/>
          <w:color w:val="17212B"/>
          <w:sz w:val="20"/>
        </w:rPr>
        <w:t>No bank connection, payroll activation, tax filing, subscription purchase, or provider authorization without owner review of the exact action.</w:t>
      </w:r>
    </w:p>
    <w:p>
      <w:pPr>
        <w:pStyle w:val="ListBullet"/>
      </w:pPr>
      <w:r>
        <w:rPr>
          <w:rFonts w:ascii="Aptos" w:hAnsi="Aptos"/>
          <w:color w:val="17212B"/>
          <w:sz w:val="20"/>
        </w:rPr>
        <w:t>Do not infer tax classification, deductibility, payroll treatment, reporting duty, or accounting treatment. Route the question to the CPA, payroll provider, bookkeeper, or tax professional as appropriate.</w:t>
      </w:r>
    </w:p>
    <w:p>
      <w:pPr>
        <w:pStyle w:val="ListBullet"/>
      </w:pPr>
      <w:r>
        <w:rPr>
          <w:rFonts w:ascii="Aptos" w:hAnsi="Aptos"/>
          <w:color w:val="17212B"/>
          <w:sz w:val="20"/>
        </w:rPr>
        <w:t>Keep each entity’s expenses, receipts, approvals, accounts, books, and supporting records separate.</w:t>
      </w:r>
    </w:p>
    <w:p>
      <w:pPr>
        <w:pStyle w:val="ListBullet"/>
      </w:pPr>
      <w:r>
        <w:rPr>
          <w:rFonts w:ascii="Aptos" w:hAnsi="Aptos"/>
          <w:color w:val="17212B"/>
          <w:sz w:val="20"/>
        </w:rPr>
        <w:t>Do not place account numbers, taxpayer IDs, or credentials in this manual or ordinary approval notes.</w:t>
      </w:r>
    </w:p>
    <w:p>
      <w:pPr>
        <w:pStyle w:val="Heading1"/>
        <w:pageBreakBefore/>
      </w:pPr>
      <w:r>
        <w:t>10. External Communications, Client Work, and Publishing</w:t>
      </w:r>
    </w:p>
    <w:p>
      <w:pPr>
        <w:pStyle w:val="Heading2"/>
      </w:pPr>
      <w:r>
        <w:t>10.1 Communication release gate</w:t>
      </w:r>
    </w:p>
    <w:p>
      <w:pPr/>
      <w:r>
        <w:rPr>
          <w:rFonts w:ascii="Aptos" w:hAnsi="Aptos"/>
          <w:color w:val="17212B"/>
          <w:sz w:val="21"/>
        </w:rPr>
        <w:t>Every external communication requires review and explicit approval of the exact final content and destination immediately before sending. The approval packet names the sender identity, legal entity, recipients, subject, body, attachments, links, response owner, and any confidentiality or deadline issue.</w:t>
      </w:r>
    </w:p>
    <w:p>
      <w:pPr/>
      <w:r>
        <w:rPr>
          <w:rFonts w:ascii="Aptos" w:hAnsi="Aptos"/>
          <w:color w:val="17212B"/>
          <w:sz w:val="21"/>
        </w:rPr>
        <w:t>Drafting, formatting, recipient research, and local preview are preparation only. Scheduled, queued, or saved messages are not sent; a local website is not published; and a connected form is not active until verified on the intended surface.</w:t>
      </w:r>
    </w:p>
    <w:p>
      <w:pPr>
        <w:pStyle w:val="Heading2"/>
      </w:pPr>
      <w:r>
        <w:t>10.2 Client and prospective-client intake</w:t>
      </w:r>
    </w:p>
    <w:p>
      <w:pPr>
        <w:spacing w:after="80" w:line="276" w:lineRule="auto"/>
        <w:numPr>
          <w:ilvl w:val="0"/>
          <w:numId w:val="14"/>
        </w:numPr>
      </w:pPr>
      <w:r>
        <w:rPr>
          <w:rFonts w:ascii="Aptos" w:hAnsi="Aptos"/>
          <w:color w:val="17212B"/>
          <w:sz w:val="20"/>
        </w:rPr>
        <w:t>Confirm who is asking, their entity and authority, the current operating reality, the desired first result, and the completion test.</w:t>
      </w:r>
    </w:p>
    <w:p>
      <w:pPr>
        <w:spacing w:after="80" w:line="276" w:lineRule="auto"/>
        <w:numPr>
          <w:ilvl w:val="0"/>
          <w:numId w:val="14"/>
        </w:numPr>
      </w:pPr>
      <w:r>
        <w:rPr>
          <w:rFonts w:ascii="Aptos" w:hAnsi="Aptos"/>
          <w:color w:val="17212B"/>
          <w:sz w:val="20"/>
        </w:rPr>
        <w:t>Identify related owners, entities, assets, customers, locations, records, conflicts, and required specialist inputs.</w:t>
      </w:r>
    </w:p>
    <w:p>
      <w:pPr>
        <w:spacing w:after="80" w:line="276" w:lineRule="auto"/>
        <w:numPr>
          <w:ilvl w:val="0"/>
          <w:numId w:val="14"/>
        </w:numPr>
      </w:pPr>
      <w:r>
        <w:rPr>
          <w:rFonts w:ascii="Aptos" w:hAnsi="Aptos"/>
          <w:color w:val="17212B"/>
          <w:sz w:val="20"/>
        </w:rPr>
        <w:t>Separate NOW, NEXT, and LATER. Do not let speculative future lanes delay the first approved outcome.</w:t>
      </w:r>
    </w:p>
    <w:p>
      <w:pPr>
        <w:spacing w:after="80" w:line="276" w:lineRule="auto"/>
        <w:numPr>
          <w:ilvl w:val="0"/>
          <w:numId w:val="14"/>
        </w:numPr>
      </w:pPr>
      <w:r>
        <w:rPr>
          <w:rFonts w:ascii="Aptos" w:hAnsi="Aptos"/>
          <w:color w:val="17212B"/>
          <w:sz w:val="20"/>
        </w:rPr>
        <w:t>Request only records necessary to define or perform the approved scope, using a secure method for sensitive material.</w:t>
      </w:r>
    </w:p>
    <w:p>
      <w:pPr>
        <w:spacing w:after="80" w:line="276" w:lineRule="auto"/>
        <w:numPr>
          <w:ilvl w:val="0"/>
          <w:numId w:val="14"/>
        </w:numPr>
      </w:pPr>
      <w:r>
        <w:rPr>
          <w:rFonts w:ascii="Aptos" w:hAnsi="Aptos"/>
          <w:color w:val="17212B"/>
          <w:sz w:val="20"/>
        </w:rPr>
        <w:t>If the work is a fit, prepare a separate scope, fee, responsibilities, exclusions, assumptions, acceptance standard, and work order for review.</w:t>
      </w:r>
    </w:p>
    <w:p>
      <w:pPr>
        <w:spacing w:after="80" w:line="276" w:lineRule="auto"/>
        <w:numPr>
          <w:ilvl w:val="0"/>
          <w:numId w:val="14"/>
        </w:numPr>
      </w:pPr>
      <w:r>
        <w:rPr>
          <w:rFonts w:ascii="Aptos" w:hAnsi="Aptos"/>
          <w:color w:val="17212B"/>
          <w:sz w:val="20"/>
        </w:rPr>
        <w:t>Do not begin client-system access, bookkeeping, formation, advisory, regulated, or customer-facing work until the service-readiness and owner-approval gates for that exact engagement are complete.</w:t>
      </w:r>
    </w:p>
    <w:p>
      <w:pPr>
        <w:pStyle w:val="Heading2"/>
      </w:pPr>
      <w:r>
        <w:t>10.3 Claims and promises</w:t>
      </w:r>
    </w:p>
    <w:p>
      <w:pPr/>
      <w:r>
        <w:rPr>
          <w:rFonts w:ascii="Aptos" w:hAnsi="Aptos"/>
          <w:color w:val="17212B"/>
          <w:sz w:val="21"/>
        </w:rPr>
        <w:t>The Company communicates honestly and avoids unsupported guarantees. It may describe verified capabilities and expected process; it does not promise regulatory approval, funding, profit, licensing, tax results, legal outcomes, insurance coverage, or market demand. Durable success begins with honest expectations, practical planning, and evidence of real results.</w:t>
      </w:r>
    </w:p>
    <w:p>
      <w:pPr>
        <w:pStyle w:val="Heading1"/>
        <w:pageBreakBefore/>
      </w:pPr>
      <w:r>
        <w:t>11. Accounts, Access, Software, and Systems</w:t>
      </w:r>
    </w:p>
    <w:p>
      <w:pPr>
        <w:pStyle w:val="Heading2"/>
      </w:pPr>
      <w:r>
        <w:t>11.1 Access standard</w:t>
      </w:r>
    </w:p>
    <w:p>
      <w:pPr>
        <w:pStyle w:val="ListBullet"/>
      </w:pPr>
      <w:r>
        <w:rPr>
          <w:rFonts w:ascii="Aptos" w:hAnsi="Aptos"/>
          <w:color w:val="17212B"/>
          <w:sz w:val="20"/>
        </w:rPr>
        <w:t>Name the account owner, primary administrator, billing owner, recovery method, and accountable entity before use.</w:t>
      </w:r>
    </w:p>
    <w:p>
      <w:pPr>
        <w:pStyle w:val="ListBullet"/>
      </w:pPr>
      <w:r>
        <w:rPr>
          <w:rFonts w:ascii="Aptos" w:hAnsi="Aptos"/>
          <w:color w:val="17212B"/>
          <w:sz w:val="20"/>
        </w:rPr>
        <w:t>Grant the minimum role needed for the work and time period. Avoid shared credentials.</w:t>
      </w:r>
    </w:p>
    <w:p>
      <w:pPr>
        <w:pStyle w:val="ListBullet"/>
      </w:pPr>
      <w:r>
        <w:rPr>
          <w:rFonts w:ascii="Aptos" w:hAnsi="Aptos"/>
          <w:color w:val="17212B"/>
          <w:sz w:val="20"/>
        </w:rPr>
        <w:t>Use multi-factor authentication and owner-controlled recovery. The owner completes Touch ID, password, or other direct authentication when required.</w:t>
      </w:r>
    </w:p>
    <w:p>
      <w:pPr>
        <w:pStyle w:val="ListBullet"/>
      </w:pPr>
      <w:r>
        <w:rPr>
          <w:rFonts w:ascii="Aptos" w:hAnsi="Aptos"/>
          <w:color w:val="17212B"/>
          <w:sz w:val="20"/>
        </w:rPr>
        <w:t>Require approval before creating, purchasing, connecting, disconnecting, transferring, deleting, or changing an account, provider, role, credential, domain, billing setting, or permission.</w:t>
      </w:r>
    </w:p>
    <w:p>
      <w:pPr>
        <w:pStyle w:val="ListBullet"/>
      </w:pPr>
      <w:r>
        <w:rPr>
          <w:rFonts w:ascii="Aptos" w:hAnsi="Aptos"/>
          <w:color w:val="17212B"/>
          <w:sz w:val="20"/>
        </w:rPr>
        <w:t>Maintain an access register with account, entity, owner, admins, roles, approval, grant date, review date, and removal evidence.</w:t>
      </w:r>
    </w:p>
    <w:p>
      <w:pPr>
        <w:pStyle w:val="ListBullet"/>
      </w:pPr>
      <w:r>
        <w:rPr>
          <w:rFonts w:ascii="Aptos" w:hAnsi="Aptos"/>
          <w:color w:val="17212B"/>
          <w:sz w:val="20"/>
        </w:rPr>
        <w:t>Verify changes through provider readback. A request, invitation, or successful login does not prove the intended ownership or permission state.</w:t>
      </w:r>
    </w:p>
    <w:p>
      <w:pPr>
        <w:pStyle w:val="Heading2"/>
      </w:pPr>
      <w:r>
        <w:t>11.2 System-change procedure</w:t>
      </w:r>
    </w:p>
    <w:p>
      <w:pPr>
        <w:pStyle w:val="Checklist"/>
      </w:pPr>
      <w:r>
        <w:rPr>
          <w:rFonts w:ascii="Arial" w:hAnsi="Arial"/>
          <w:color w:val="2E74B5"/>
          <w:sz w:val="21"/>
        </w:rPr>
        <w:t xml:space="preserve">☐  </w:t>
      </w:r>
      <w:r>
        <w:rPr>
          <w:rFonts w:ascii="Aptos" w:hAnsi="Aptos"/>
          <w:color w:val="17212B"/>
          <w:sz w:val="20"/>
        </w:rPr>
        <w:t>Current owner, administrators, billing, integrations, data, and recovery path are inventoried.</w:t>
      </w:r>
    </w:p>
    <w:p>
      <w:pPr>
        <w:pStyle w:val="Checklist"/>
      </w:pPr>
      <w:r>
        <w:rPr>
          <w:rFonts w:ascii="Arial" w:hAnsi="Arial"/>
          <w:color w:val="2E74B5"/>
          <w:sz w:val="21"/>
        </w:rPr>
        <w:t xml:space="preserve">☐  </w:t>
      </w:r>
      <w:r>
        <w:rPr>
          <w:rFonts w:ascii="Aptos" w:hAnsi="Aptos"/>
          <w:color w:val="17212B"/>
          <w:sz w:val="20"/>
        </w:rPr>
        <w:t>Business outcome and rollback plan are documented.</w:t>
      </w:r>
    </w:p>
    <w:p>
      <w:pPr>
        <w:pStyle w:val="Checklist"/>
      </w:pPr>
      <w:r>
        <w:rPr>
          <w:rFonts w:ascii="Arial" w:hAnsi="Arial"/>
          <w:color w:val="2E74B5"/>
          <w:sz w:val="21"/>
        </w:rPr>
        <w:t xml:space="preserve">☐  </w:t>
      </w:r>
      <w:r>
        <w:rPr>
          <w:rFonts w:ascii="Aptos" w:hAnsi="Aptos"/>
          <w:color w:val="17212B"/>
          <w:sz w:val="20"/>
        </w:rPr>
        <w:t>Security, privacy, data-location, entity, cost, and downstream effects are reviewed.</w:t>
      </w:r>
    </w:p>
    <w:p>
      <w:pPr>
        <w:pStyle w:val="Checklist"/>
      </w:pPr>
      <w:r>
        <w:rPr>
          <w:rFonts w:ascii="Arial" w:hAnsi="Arial"/>
          <w:color w:val="2E74B5"/>
          <w:sz w:val="21"/>
        </w:rPr>
        <w:t xml:space="preserve">☐  </w:t>
      </w:r>
      <w:r>
        <w:rPr>
          <w:rFonts w:ascii="Aptos" w:hAnsi="Aptos"/>
          <w:color w:val="17212B"/>
          <w:sz w:val="20"/>
        </w:rPr>
        <w:t>Exact change is approved.</w:t>
      </w:r>
    </w:p>
    <w:p>
      <w:pPr>
        <w:pStyle w:val="Checklist"/>
      </w:pPr>
      <w:r>
        <w:rPr>
          <w:rFonts w:ascii="Arial" w:hAnsi="Arial"/>
          <w:color w:val="2E74B5"/>
          <w:sz w:val="21"/>
        </w:rPr>
        <w:t xml:space="preserve">☐  </w:t>
      </w:r>
      <w:r>
        <w:rPr>
          <w:rFonts w:ascii="Aptos" w:hAnsi="Aptos"/>
          <w:color w:val="17212B"/>
          <w:sz w:val="20"/>
        </w:rPr>
        <w:t>Backup/export or preservation step is complete where needed.</w:t>
      </w:r>
    </w:p>
    <w:p>
      <w:pPr>
        <w:pStyle w:val="Checklist"/>
      </w:pPr>
      <w:r>
        <w:rPr>
          <w:rFonts w:ascii="Arial" w:hAnsi="Arial"/>
          <w:color w:val="2E74B5"/>
          <w:sz w:val="21"/>
        </w:rPr>
        <w:t xml:space="preserve">☐  </w:t>
      </w:r>
      <w:r>
        <w:rPr>
          <w:rFonts w:ascii="Aptos" w:hAnsi="Aptos"/>
          <w:color w:val="17212B"/>
          <w:sz w:val="20"/>
        </w:rPr>
        <w:t>Change is executed by an authorized person and verified by readback.</w:t>
      </w:r>
    </w:p>
    <w:p>
      <w:pPr>
        <w:pStyle w:val="Checklist"/>
      </w:pPr>
      <w:r>
        <w:rPr>
          <w:rFonts w:ascii="Arial" w:hAnsi="Arial"/>
          <w:color w:val="2E74B5"/>
          <w:sz w:val="21"/>
        </w:rPr>
        <w:t xml:space="preserve">☐  </w:t>
      </w:r>
      <w:r>
        <w:rPr>
          <w:rFonts w:ascii="Aptos" w:hAnsi="Aptos"/>
          <w:color w:val="17212B"/>
          <w:sz w:val="20"/>
        </w:rPr>
        <w:t>Access register, system inventory, and affected procedures are updated.</w:t>
      </w:r>
    </w:p>
    <w:p>
      <w:pPr>
        <w:pStyle w:val="Heading1"/>
        <w:pageBreakBefore/>
      </w:pPr>
      <w:r>
        <w:t>12. Equipment and Asset Custody</w:t>
      </w:r>
    </w:p>
    <w:p>
      <w:pPr>
        <w:pStyle w:val="Heading2"/>
      </w:pPr>
      <w:r>
        <w:t>12.1 Asset lifecycle</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800"/>
        <w:gridCol w:w="7560"/>
      </w:tblGrid>
      <w:tr>
        <w:trPr>
          <w:tblHeader w:val="true"/>
        </w:trPr>
        <w:tc>
          <w:tcPr>
            <w:tcW w:type="dxa" w:w="1800"/>
            <w:tcMar>
              <w:top w:w="100" w:type="dxa"/>
              <w:start w:w="120" w:type="dxa"/>
              <w:bottom w:w="100" w:type="dxa"/>
              <w:end w:w="120" w:type="dxa"/>
            </w:tcMar>
            <w:vAlign w:val="center"/>
            <w:shd w:fill="17365D"/>
          </w:tcPr>
          <w:p>
            <w:pPr>
              <w:spacing w:after="0"/>
              <w:ind w:left="0" w:firstLine="0"/>
            </w:pPr>
            <w:r>
              <w:rPr>
                <w:rFonts w:ascii="Aptos" w:hAnsi="Aptos"/>
                <w:b/>
                <w:color w:val="FFFFFF"/>
                <w:sz w:val="18"/>
              </w:rPr>
              <w:t>Stage</w:t>
            </w:r>
          </w:p>
        </w:tc>
        <w:tc>
          <w:tcPr>
            <w:tcW w:type="dxa" w:w="7560"/>
            <w:tcMar>
              <w:top w:w="100" w:type="dxa"/>
              <w:start w:w="120" w:type="dxa"/>
              <w:bottom w:w="100" w:type="dxa"/>
              <w:end w:w="120" w:type="dxa"/>
            </w:tcMar>
            <w:vAlign w:val="center"/>
            <w:shd w:fill="17365D"/>
          </w:tcPr>
          <w:p>
            <w:pPr>
              <w:spacing w:after="0"/>
              <w:ind w:left="0" w:firstLine="0"/>
            </w:pPr>
            <w:r>
              <w:rPr>
                <w:rFonts w:ascii="Aptos" w:hAnsi="Aptos"/>
                <w:b/>
                <w:color w:val="FFFFFF"/>
                <w:sz w:val="18"/>
              </w:rPr>
              <w:t>Required control</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Receive</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Inspect, photograph exceptions, match invoice and contents, and resolve discrepancies.</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Record</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Create the restricted asset record with owner, asset ID, serial, cost, coverage, accessories, condition, custodian, and status.</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Configure</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Apply current Company security and management controls; test basic operation, backup/sync, and required access.</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Release</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Provide applicable guides/notices, approve custody transfer, record shipment or handoff, and verify receipt.</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Operate</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Maintain care, security, inventory, support, incident reporting, and authorized changes.</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Recover</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Issue return instructions, preserve data, reconcile items, remove access, inspect condition, and record custody.</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Dispose / reassign</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Only an authorized Company approver may approve sale, trade, donation, recycling, disposal, or reassignment.</w:t>
            </w:r>
          </w:p>
        </w:tc>
      </w:tr>
    </w:tbl>
    <w:p>
      <w:pPr>
        <w:spacing w:after="0" w:line="20" w:lineRule="exact"/>
      </w:pPr>
      <w:r>
        <w:rPr>
          <w:rFonts w:ascii="Aptos" w:hAnsi="Aptos"/>
          <w:color w:val="FFFFFF"/>
          <w:sz w:val="2"/>
        </w:rPr>
        <w:t xml:space="preserve"> </w:t>
      </w:r>
    </w:p>
    <w:p>
      <w:pPr>
        <w:pStyle w:val="Heading2"/>
      </w:pPr>
      <w:r>
        <w:t>12.2 Companion procedure</w:t>
      </w:r>
    </w:p>
    <w:p>
      <w:pPr/>
      <w:r>
        <w:rPr>
          <w:rFonts w:ascii="Aptos" w:hAnsi="Aptos"/>
          <w:color w:val="17212B"/>
          <w:sz w:val="21"/>
        </w:rPr>
        <w:t>Use the Equipment Custody and Return Agreement and the device and custody register for future equipment issued by this business. Preserve the current handoff directions for already retained equipment. Keep serial numbers, invoices, credentials, condition photos and detailed custody history in restricted records, not this manual.</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COUNSEL / OWNER REVIEW  </w:t>
            </w:r>
            <w:r>
              <w:rPr>
                <w:rFonts w:ascii="Aptos" w:hAnsi="Aptos"/>
                <w:color w:val="17212B"/>
                <w:sz w:val="19"/>
              </w:rPr>
              <w:t>Monitoring, device-management notices, location features, remote wipe, privacy expectations, and worker-location requirements must be reviewed for the actual configuration before activation. The owner approves shipping, coverage changes, repair payments, wiping, and final disposition.</w:t>
            </w:r>
          </w:p>
        </w:tc>
      </w:tr>
    </w:tbl>
    <w:p>
      <w:pPr>
        <w:spacing w:after="20"/>
      </w:pPr>
    </w:p>
    <w:p>
      <w:pPr>
        <w:pStyle w:val="Heading1"/>
        <w:pageBreakBefore/>
      </w:pPr>
      <w:r>
        <w:t>13. Incident, Exception, and Escalation Management</w:t>
      </w:r>
    </w:p>
    <w:p>
      <w:pPr>
        <w:pStyle w:val="Heading2"/>
      </w:pPr>
      <w:r>
        <w:t>13.1 Immediate sequence</w:t>
      </w:r>
    </w:p>
    <w:p>
      <w:pPr>
        <w:spacing w:after="80" w:line="276" w:lineRule="auto"/>
        <w:numPr>
          <w:ilvl w:val="0"/>
          <w:numId w:val="15"/>
        </w:numPr>
      </w:pPr>
      <w:r>
        <w:rPr>
          <w:rFonts w:ascii="Aptos" w:hAnsi="Aptos"/>
          <w:color w:val="17212B"/>
          <w:sz w:val="20"/>
        </w:rPr>
        <w:t>Protect people and move to a safe condition.</w:t>
      </w:r>
    </w:p>
    <w:p>
      <w:pPr>
        <w:spacing w:after="80" w:line="276" w:lineRule="auto"/>
        <w:numPr>
          <w:ilvl w:val="0"/>
          <w:numId w:val="15"/>
        </w:numPr>
      </w:pPr>
      <w:r>
        <w:rPr>
          <w:rFonts w:ascii="Aptos" w:hAnsi="Aptos"/>
          <w:color w:val="17212B"/>
          <w:sz w:val="20"/>
        </w:rPr>
        <w:t>Contain further loss when safe and authorized; do not destroy evidence or make an unapproved irreversible change.</w:t>
      </w:r>
    </w:p>
    <w:p>
      <w:pPr>
        <w:spacing w:after="80" w:line="276" w:lineRule="auto"/>
        <w:numPr>
          <w:ilvl w:val="0"/>
          <w:numId w:val="15"/>
        </w:numPr>
      </w:pPr>
      <w:r>
        <w:rPr>
          <w:rFonts w:ascii="Aptos" w:hAnsi="Aptos"/>
          <w:color w:val="17212B"/>
          <w:sz w:val="20"/>
        </w:rPr>
        <w:t>Notify the accountable owner through the approved channel with known facts and uncertainty.</w:t>
      </w:r>
    </w:p>
    <w:p>
      <w:pPr>
        <w:spacing w:after="80" w:line="276" w:lineRule="auto"/>
        <w:numPr>
          <w:ilvl w:val="0"/>
          <w:numId w:val="15"/>
        </w:numPr>
      </w:pPr>
      <w:r>
        <w:rPr>
          <w:rFonts w:ascii="Aptos" w:hAnsi="Aptos"/>
          <w:color w:val="17212B"/>
          <w:sz w:val="20"/>
        </w:rPr>
        <w:t>Preserve timestamps, messages, logs, photos, tracking, receipts, affected assets/accounts, and chain of custody.</w:t>
      </w:r>
    </w:p>
    <w:p>
      <w:pPr>
        <w:spacing w:after="80" w:line="276" w:lineRule="auto"/>
        <w:numPr>
          <w:ilvl w:val="0"/>
          <w:numId w:val="15"/>
        </w:numPr>
      </w:pPr>
      <w:r>
        <w:rPr>
          <w:rFonts w:ascii="Aptos" w:hAnsi="Aptos"/>
          <w:color w:val="17212B"/>
          <w:sz w:val="20"/>
        </w:rPr>
        <w:t>Classify the incident and engage the appropriate provider, broker, counsel, CPA, payroll professional, regulator, law enforcement, carrier, or vendor only with required authority.</w:t>
      </w:r>
    </w:p>
    <w:p>
      <w:pPr>
        <w:spacing w:after="80" w:line="276" w:lineRule="auto"/>
        <w:numPr>
          <w:ilvl w:val="0"/>
          <w:numId w:val="15"/>
        </w:numPr>
      </w:pPr>
      <w:r>
        <w:rPr>
          <w:rFonts w:ascii="Aptos" w:hAnsi="Aptos"/>
          <w:color w:val="17212B"/>
          <w:sz w:val="20"/>
        </w:rPr>
        <w:t>Record decisions, actions, approval, external reports, recovery, remaining exposure, and follow-up owner.</w:t>
      </w:r>
    </w:p>
    <w:p>
      <w:pPr>
        <w:pStyle w:val="Heading2"/>
      </w:pPr>
      <w:r>
        <w:t>13.2 Incident routing</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350"/>
        <w:gridCol w:w="7010"/>
      </w:tblGrid>
      <w:tr>
        <w:trPr>
          <w:tblHeader w:val="true"/>
        </w:trPr>
        <w:tc>
          <w:tcPr>
            <w:tcW w:type="dxa" w:w="2350"/>
            <w:tcMar>
              <w:top w:w="100" w:type="dxa"/>
              <w:start w:w="120" w:type="dxa"/>
              <w:bottom w:w="100" w:type="dxa"/>
              <w:end w:w="120" w:type="dxa"/>
            </w:tcMar>
            <w:vAlign w:val="center"/>
            <w:shd w:fill="17365D"/>
          </w:tcPr>
          <w:p>
            <w:pPr>
              <w:spacing w:after="0"/>
              <w:ind w:left="0" w:firstLine="0"/>
            </w:pPr>
            <w:r>
              <w:rPr>
                <w:rFonts w:ascii="Aptos" w:hAnsi="Aptos"/>
                <w:b/>
                <w:color w:val="FFFFFF"/>
                <w:sz w:val="17"/>
              </w:rPr>
              <w:t>Incident</w:t>
            </w:r>
          </w:p>
        </w:tc>
        <w:tc>
          <w:tcPr>
            <w:tcW w:type="dxa" w:w="7010"/>
            <w:tcMar>
              <w:top w:w="100" w:type="dxa"/>
              <w:start w:w="120" w:type="dxa"/>
              <w:bottom w:w="100" w:type="dxa"/>
              <w:end w:w="120" w:type="dxa"/>
            </w:tcMar>
            <w:vAlign w:val="center"/>
            <w:shd w:fill="17365D"/>
          </w:tcPr>
          <w:p>
            <w:pPr>
              <w:spacing w:after="0"/>
              <w:ind w:left="0" w:firstLine="0"/>
            </w:pPr>
            <w:r>
              <w:rPr>
                <w:rFonts w:ascii="Aptos" w:hAnsi="Aptos"/>
                <w:b/>
                <w:color w:val="FFFFFF"/>
                <w:sz w:val="17"/>
              </w:rPr>
              <w:t>Initial operating response</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Safety or injury</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Protect people; contact emergency services when needed; preserve facts; route required workplace, insurance, or legal handling to qualified reviewers.</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Security or account access</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Use a trusted device; preserve evidence; consider credential reset, session revocation, suspension, isolation, or lock only as authorized.</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Lost, stolen, or damaged equipment</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Preserve last-known circumstances and condition; protect accounts/data; coordinate custody, carrier, police, warranty, or insurance response.</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Misdelivery or disclosure</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Stop further sharing; preserve recipient and content details; assess affected data and accounts; obtain privacy/legal guidance where required.</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Financial error or suspicious payment</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Do not compound the transaction; preserve records; notify owner and financial institution/provider through an authorized channel.</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Document or source conflict</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Pause reliance; preserve versions; identify the owner and authoritative source; record the resolution and update downstream work.</w:t>
            </w:r>
          </w:p>
        </w:tc>
      </w:tr>
    </w:tbl>
    <w:p>
      <w:pPr>
        <w:spacing w:after="0" w:line="20" w:lineRule="exact"/>
      </w:pPr>
      <w:r>
        <w:rPr>
          <w:rFonts w:ascii="Aptos" w:hAnsi="Aptos"/>
          <w:color w:val="FFFFFF"/>
          <w:sz w:val="2"/>
        </w:rPr>
        <w:t xml:space="preserve"> </w:t>
      </w:r>
    </w:p>
    <w:p>
      <w:pPr>
        <w:pStyle w:val="Heading2"/>
      </w:pPr>
      <w:r>
        <w:t>13.3 Exception record</w:t>
      </w:r>
    </w:p>
    <w:p>
      <w:pPr/>
      <w:r>
        <w:rPr>
          <w:rFonts w:ascii="Aptos" w:hAnsi="Aptos"/>
          <w:color w:val="17212B"/>
          <w:sz w:val="21"/>
        </w:rPr>
        <w:t>Record the expected control, actual condition, affected entity/object, date, impact, temporary safeguard, decision owner, approval, expiration or review date, corrective action, and proof of closure. Exceptions do not silently become policy.</w:t>
      </w:r>
    </w:p>
    <w:p>
      <w:pPr>
        <w:pStyle w:val="Heading1"/>
        <w:pageBreakBefore/>
      </w:pPr>
      <w:r>
        <w:t>14. Quality Assurance and Definition of Done</w:t>
      </w:r>
    </w:p>
    <w:p>
      <w:pPr>
        <w:pStyle w:val="Heading2"/>
      </w:pPr>
      <w:r>
        <w:t>14.1 Verification by artifact type</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50"/>
        <w:gridCol w:w="6910"/>
      </w:tblGrid>
      <w:tr>
        <w:trPr>
          <w:tblHeader w:val="true"/>
        </w:trPr>
        <w:tc>
          <w:tcPr>
            <w:tcW w:type="dxa" w:w="2450"/>
            <w:tcMar>
              <w:top w:w="100" w:type="dxa"/>
              <w:start w:w="120" w:type="dxa"/>
              <w:bottom w:w="100" w:type="dxa"/>
              <w:end w:w="120" w:type="dxa"/>
            </w:tcMar>
            <w:vAlign w:val="center"/>
            <w:shd w:fill="17365D"/>
          </w:tcPr>
          <w:p>
            <w:pPr>
              <w:spacing w:after="0"/>
              <w:ind w:left="0" w:firstLine="0"/>
            </w:pPr>
            <w:r>
              <w:rPr>
                <w:rFonts w:ascii="Aptos" w:hAnsi="Aptos"/>
                <w:b/>
                <w:color w:val="FFFFFF"/>
                <w:sz w:val="18"/>
              </w:rPr>
              <w:t>Work type</w:t>
            </w:r>
          </w:p>
        </w:tc>
        <w:tc>
          <w:tcPr>
            <w:tcW w:type="dxa" w:w="6910"/>
            <w:tcMar>
              <w:top w:w="100" w:type="dxa"/>
              <w:start w:w="120" w:type="dxa"/>
              <w:bottom w:w="100" w:type="dxa"/>
              <w:end w:w="120" w:type="dxa"/>
            </w:tcMar>
            <w:vAlign w:val="center"/>
            <w:shd w:fill="17365D"/>
          </w:tcPr>
          <w:p>
            <w:pPr>
              <w:spacing w:after="0"/>
              <w:ind w:left="0" w:firstLine="0"/>
            </w:pPr>
            <w:r>
              <w:rPr>
                <w:rFonts w:ascii="Aptos" w:hAnsi="Aptos"/>
                <w:b/>
                <w:color w:val="FFFFFF"/>
                <w:sz w:val="18"/>
              </w:rPr>
              <w:t>Minimum verification</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Document / PDF</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Structure and text checks; render every page; inspect layout, tables, headers, footers, pagination, and required language.</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Spreadsheet</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Formula and reference audit; recalculate; test inputs and edge cases; inspect rendered or application view.</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Website / application</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Local build/test; responsive and accessibility checks; verify forms, links, privacy behavior, and release configuration. Public status requires live readback.</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Email / communication</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Exact sender, recipients, subject, body, attachments, links, and approvals; sent-item or recipient proof after sending.</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Account / access / provider</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Provider readback of owner, role, billing, integrations, recovery, and target state.</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Transaction / filing / contract</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Official receipt, accepted status, bank or provider record, countersigned instrument, or agency readback.</w:t>
            </w:r>
          </w:p>
        </w:tc>
      </w:tr>
    </w:tbl>
    <w:p>
      <w:pPr>
        <w:spacing w:after="0" w:line="20" w:lineRule="exact"/>
      </w:pPr>
      <w:r>
        <w:rPr>
          <w:rFonts w:ascii="Aptos" w:hAnsi="Aptos"/>
          <w:color w:val="FFFFFF"/>
          <w:sz w:val="2"/>
        </w:rPr>
        <w:t xml:space="preserve"> </w:t>
      </w:r>
    </w:p>
    <w:p>
      <w:pPr>
        <w:pStyle w:val="Heading2"/>
      </w:pPr>
      <w:r>
        <w:t>14.2 Definition of done</w:t>
      </w:r>
    </w:p>
    <w:p>
      <w:pPr>
        <w:pStyle w:val="Checklist"/>
      </w:pPr>
      <w:r>
        <w:rPr>
          <w:rFonts w:ascii="Arial" w:hAnsi="Arial"/>
          <w:color w:val="2E74B5"/>
          <w:sz w:val="21"/>
        </w:rPr>
        <w:t xml:space="preserve">☐  </w:t>
      </w:r>
      <w:r>
        <w:rPr>
          <w:rFonts w:ascii="Aptos" w:hAnsi="Aptos"/>
          <w:color w:val="17212B"/>
          <w:sz w:val="20"/>
        </w:rPr>
        <w:t>The requested outcome—not merely an intermediate—is complete.</w:t>
      </w:r>
    </w:p>
    <w:p>
      <w:pPr>
        <w:pStyle w:val="Checklist"/>
      </w:pPr>
      <w:r>
        <w:rPr>
          <w:rFonts w:ascii="Arial" w:hAnsi="Arial"/>
          <w:color w:val="2E74B5"/>
          <w:sz w:val="21"/>
        </w:rPr>
        <w:t xml:space="preserve">☐  </w:t>
      </w:r>
      <w:r>
        <w:rPr>
          <w:rFonts w:ascii="Aptos" w:hAnsi="Aptos"/>
          <w:color w:val="17212B"/>
          <w:sz w:val="20"/>
        </w:rPr>
        <w:t>The correct entity, owner, source, and approval were used.</w:t>
      </w:r>
    </w:p>
    <w:p>
      <w:pPr>
        <w:pStyle w:val="Checklist"/>
      </w:pPr>
      <w:r>
        <w:rPr>
          <w:rFonts w:ascii="Arial" w:hAnsi="Arial"/>
          <w:color w:val="2E74B5"/>
          <w:sz w:val="21"/>
        </w:rPr>
        <w:t xml:space="preserve">☐  </w:t>
      </w:r>
      <w:r>
        <w:rPr>
          <w:rFonts w:ascii="Aptos" w:hAnsi="Aptos"/>
          <w:color w:val="17212B"/>
          <w:sz w:val="20"/>
        </w:rPr>
        <w:t>The result was verified in its actual-use format.</w:t>
      </w:r>
    </w:p>
    <w:p>
      <w:pPr>
        <w:pStyle w:val="Checklist"/>
      </w:pPr>
      <w:r>
        <w:rPr>
          <w:rFonts w:ascii="Arial" w:hAnsi="Arial"/>
          <w:color w:val="2E74B5"/>
          <w:sz w:val="21"/>
        </w:rPr>
        <w:t xml:space="preserve">☐  </w:t>
      </w:r>
      <w:r>
        <w:rPr>
          <w:rFonts w:ascii="Aptos" w:hAnsi="Aptos"/>
          <w:color w:val="17212B"/>
          <w:sz w:val="20"/>
        </w:rPr>
        <w:t>Material discrepancies and unavailable sources are disclosed.</w:t>
      </w:r>
    </w:p>
    <w:p>
      <w:pPr>
        <w:pStyle w:val="Checklist"/>
      </w:pPr>
      <w:r>
        <w:rPr>
          <w:rFonts w:ascii="Arial" w:hAnsi="Arial"/>
          <w:color w:val="2E74B5"/>
          <w:sz w:val="21"/>
        </w:rPr>
        <w:t xml:space="preserve">☐  </w:t>
      </w:r>
      <w:r>
        <w:rPr>
          <w:rFonts w:ascii="Aptos" w:hAnsi="Aptos"/>
          <w:color w:val="17212B"/>
          <w:sz w:val="20"/>
        </w:rPr>
        <w:t>Evidence is retained in the approved location.</w:t>
      </w:r>
    </w:p>
    <w:p>
      <w:pPr>
        <w:pStyle w:val="Checklist"/>
      </w:pPr>
      <w:r>
        <w:rPr>
          <w:rFonts w:ascii="Arial" w:hAnsi="Arial"/>
          <w:color w:val="2E74B5"/>
          <w:sz w:val="21"/>
        </w:rPr>
        <w:t xml:space="preserve">☐  </w:t>
      </w:r>
      <w:r>
        <w:rPr>
          <w:rFonts w:ascii="Aptos" w:hAnsi="Aptos"/>
          <w:color w:val="17212B"/>
          <w:sz w:val="20"/>
        </w:rPr>
        <w:t>Downstream records, status, access, or documentation are updated.</w:t>
      </w:r>
    </w:p>
    <w:p>
      <w:pPr>
        <w:pStyle w:val="Checklist"/>
      </w:pPr>
      <w:r>
        <w:rPr>
          <w:rFonts w:ascii="Arial" w:hAnsi="Arial"/>
          <w:color w:val="2E74B5"/>
          <w:sz w:val="21"/>
        </w:rPr>
        <w:t xml:space="preserve">☐  </w:t>
      </w:r>
      <w:r>
        <w:rPr>
          <w:rFonts w:ascii="Aptos" w:hAnsi="Aptos"/>
          <w:color w:val="17212B"/>
          <w:sz w:val="20"/>
        </w:rPr>
        <w:t>No unresolved decision remains that would change the claimed completion state.</w:t>
      </w:r>
    </w:p>
    <w:p>
      <w:pPr>
        <w:pStyle w:val="Heading1"/>
        <w:pageBreakBefore/>
      </w:pPr>
      <w:r>
        <w:t>15. Continuity, Change Control, and Manual Governance</w:t>
      </w:r>
    </w:p>
    <w:p>
      <w:pPr>
        <w:pStyle w:val="Heading2"/>
      </w:pPr>
      <w:r>
        <w:t>15.1 Continuity standard</w:t>
      </w:r>
    </w:p>
    <w:p>
      <w:pPr>
        <w:pStyle w:val="ListBullet"/>
      </w:pPr>
      <w:r>
        <w:rPr>
          <w:rFonts w:ascii="Aptos" w:hAnsi="Aptos"/>
          <w:color w:val="17212B"/>
          <w:sz w:val="20"/>
        </w:rPr>
        <w:t>Critical accounts, systems, vendors, records, and recurring obligations have named owners and recovery paths.</w:t>
      </w:r>
    </w:p>
    <w:p>
      <w:pPr>
        <w:pStyle w:val="ListBullet"/>
      </w:pPr>
      <w:r>
        <w:rPr>
          <w:rFonts w:ascii="Aptos" w:hAnsi="Aptos"/>
          <w:color w:val="17212B"/>
          <w:sz w:val="20"/>
        </w:rPr>
        <w:t>No critical process depends on one person’s memory, private account, or undocumented local file.</w:t>
      </w:r>
    </w:p>
    <w:p>
      <w:pPr>
        <w:pStyle w:val="ListBullet"/>
      </w:pPr>
      <w:r>
        <w:rPr>
          <w:rFonts w:ascii="Aptos" w:hAnsi="Aptos"/>
          <w:color w:val="17212B"/>
          <w:sz w:val="20"/>
        </w:rPr>
        <w:t>Handoffs include current status, source, proof, access state, next action, and decision owner.</w:t>
      </w:r>
    </w:p>
    <w:p>
      <w:pPr>
        <w:pStyle w:val="ListBullet"/>
      </w:pPr>
      <w:r>
        <w:rPr>
          <w:rFonts w:ascii="Aptos" w:hAnsi="Aptos"/>
          <w:color w:val="17212B"/>
          <w:sz w:val="20"/>
        </w:rPr>
        <w:t>Backups and exports are tested in proportion to business risk, and restoration responsibility is named.</w:t>
      </w:r>
    </w:p>
    <w:p>
      <w:pPr>
        <w:pStyle w:val="ListBullet"/>
      </w:pPr>
      <w:r>
        <w:rPr>
          <w:rFonts w:ascii="Aptos" w:hAnsi="Aptos"/>
          <w:color w:val="17212B"/>
          <w:sz w:val="20"/>
        </w:rPr>
        <w:t>Departures, extended unavailability, provider failure, device loss, and credential recovery have documented response paths.</w:t>
      </w:r>
    </w:p>
    <w:p>
      <w:pPr>
        <w:pStyle w:val="Heading2"/>
      </w:pPr>
      <w:r>
        <w:t>15.2 Change control</w:t>
      </w:r>
    </w:p>
    <w:p>
      <w:pPr>
        <w:spacing w:after="80" w:line="276" w:lineRule="auto"/>
        <w:numPr>
          <w:ilvl w:val="0"/>
          <w:numId w:val="16"/>
        </w:numPr>
      </w:pPr>
      <w:r>
        <w:rPr>
          <w:rFonts w:ascii="Aptos" w:hAnsi="Aptos"/>
          <w:color w:val="17212B"/>
          <w:sz w:val="20"/>
        </w:rPr>
        <w:t>Propose the change against the current controlling source and explain the operating problem it solves.</w:t>
      </w:r>
    </w:p>
    <w:p>
      <w:pPr>
        <w:spacing w:after="80" w:line="276" w:lineRule="auto"/>
        <w:numPr>
          <w:ilvl w:val="0"/>
          <w:numId w:val="16"/>
        </w:numPr>
      </w:pPr>
      <w:r>
        <w:rPr>
          <w:rFonts w:ascii="Aptos" w:hAnsi="Aptos"/>
          <w:color w:val="17212B"/>
          <w:sz w:val="20"/>
        </w:rPr>
        <w:t>Identify affected entities, users, documents, systems, contracts, communications, evidence, and training or professional-review needs.</w:t>
      </w:r>
    </w:p>
    <w:p>
      <w:pPr>
        <w:spacing w:after="80" w:line="276" w:lineRule="auto"/>
        <w:numPr>
          <w:ilvl w:val="0"/>
          <w:numId w:val="16"/>
        </w:numPr>
      </w:pPr>
      <w:r>
        <w:rPr>
          <w:rFonts w:ascii="Aptos" w:hAnsi="Aptos"/>
          <w:color w:val="17212B"/>
          <w:sz w:val="20"/>
        </w:rPr>
        <w:t>Create one review candidate and preserve the prior source as history.</w:t>
      </w:r>
    </w:p>
    <w:p>
      <w:pPr>
        <w:spacing w:after="80" w:line="276" w:lineRule="auto"/>
        <w:numPr>
          <w:ilvl w:val="0"/>
          <w:numId w:val="16"/>
        </w:numPr>
      </w:pPr>
      <w:r>
        <w:rPr>
          <w:rFonts w:ascii="Aptos" w:hAnsi="Aptos"/>
          <w:color w:val="17212B"/>
          <w:sz w:val="20"/>
        </w:rPr>
        <w:t>Test the change in the real-use format and record exceptions.</w:t>
      </w:r>
    </w:p>
    <w:p>
      <w:pPr>
        <w:spacing w:after="80" w:line="276" w:lineRule="auto"/>
        <w:numPr>
          <w:ilvl w:val="0"/>
          <w:numId w:val="16"/>
        </w:numPr>
      </w:pPr>
      <w:r>
        <w:rPr>
          <w:rFonts w:ascii="Aptos" w:hAnsi="Aptos"/>
          <w:color w:val="17212B"/>
          <w:sz w:val="20"/>
        </w:rPr>
        <w:t>Obtain owner approval and any required professional review before issuance or activation.</w:t>
      </w:r>
    </w:p>
    <w:p>
      <w:pPr>
        <w:spacing w:after="80" w:line="276" w:lineRule="auto"/>
        <w:numPr>
          <w:ilvl w:val="0"/>
          <w:numId w:val="16"/>
        </w:numPr>
      </w:pPr>
      <w:r>
        <w:rPr>
          <w:rFonts w:ascii="Aptos" w:hAnsi="Aptos"/>
          <w:color w:val="17212B"/>
          <w:sz w:val="20"/>
        </w:rPr>
        <w:t>Record effective date, owner, superseded source, downstream updates, and proof of release.</w:t>
      </w:r>
    </w:p>
    <w:p>
      <w:pPr>
        <w:pStyle w:val="Heading2"/>
      </w:pPr>
      <w:r>
        <w:t>15.3 Manual ownership and review</w:t>
      </w:r>
    </w:p>
    <w:p>
      <w:pPr/>
      <w:r>
        <w:rPr>
          <w:rFonts w:ascii="Aptos" w:hAnsi="Aptos"/>
          <w:color w:val="17212B"/>
          <w:sz w:val="21"/>
        </w:rPr>
        <w:t>The owner or authorized decision maker owns issuance. The operations coordinator maintains the working candidate and revision log. Workstream owners propose procedure changes when evidence shows drift, recurring exceptions, changed systems, or unclear handoffs. The current issued manual controls until a replacement is approved and released.</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PROFESSIONAL REVIEW POINT  </w:t>
            </w:r>
            <w:r>
              <w:rPr>
                <w:rFonts w:ascii="Aptos" w:hAnsi="Aptos"/>
                <w:color w:val="17212B"/>
                <w:sz w:val="19"/>
              </w:rPr>
              <w:t>Before initial issuance—and after a material change affecting employment, privacy/monitoring, contracts, finance/tax, licensing, insurance, safety, record retention, or regulated services—route the affected provisions to the appropriate qualified professional. Record the reviewed scope and owner decision.</w:t>
            </w:r>
          </w:p>
        </w:tc>
      </w:tr>
    </w:tbl>
    <w:p>
      <w:pPr>
        <w:spacing w:after="20"/>
      </w:pPr>
    </w:p>
    <w:p>
      <w:pPr>
        <w:pStyle w:val="Heading1"/>
        <w:pageBreakBefore/>
      </w:pPr>
      <w:r>
        <w:t>Appendix A. Reusable Operating Templates</w:t>
      </w:r>
    </w:p>
    <w:p>
      <w:pPr>
        <w:pStyle w:val="Heading2"/>
      </w:pPr>
      <w:r>
        <w:t>A1. Operations control board</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760"/>
        <w:gridCol w:w="1500"/>
        <w:gridCol w:w="1580"/>
        <w:gridCol w:w="1320"/>
        <w:gridCol w:w="2000"/>
        <w:gridCol w:w="1200"/>
      </w:tblGrid>
      <w:tr>
        <w:trPr>
          <w:tblHeader w:val="true"/>
        </w:trPr>
        <w:tc>
          <w:tcPr>
            <w:tcW w:type="dxa" w:w="1760"/>
            <w:tcMar>
              <w:top w:w="100" w:type="dxa"/>
              <w:start w:w="120" w:type="dxa"/>
              <w:bottom w:w="100" w:type="dxa"/>
              <w:end w:w="120" w:type="dxa"/>
            </w:tcMar>
            <w:vAlign w:val="center"/>
            <w:shd w:fill="17365D"/>
          </w:tcPr>
          <w:p>
            <w:pPr>
              <w:spacing w:after="0"/>
              <w:ind w:left="0" w:firstLine="0"/>
            </w:pPr>
            <w:r>
              <w:rPr>
                <w:rFonts w:ascii="Aptos" w:hAnsi="Aptos"/>
                <w:b/>
                <w:color w:val="FFFFFF"/>
                <w:sz w:val="15"/>
              </w:rPr>
              <w:t>Outcome / lane</w:t>
            </w:r>
          </w:p>
        </w:tc>
        <w:tc>
          <w:tcPr>
            <w:tcW w:type="dxa" w:w="1500"/>
            <w:tcMar>
              <w:top w:w="100" w:type="dxa"/>
              <w:start w:w="120" w:type="dxa"/>
              <w:bottom w:w="100" w:type="dxa"/>
              <w:end w:w="120" w:type="dxa"/>
            </w:tcMar>
            <w:vAlign w:val="center"/>
            <w:shd w:fill="17365D"/>
          </w:tcPr>
          <w:p>
            <w:pPr>
              <w:spacing w:after="0"/>
              <w:ind w:left="0" w:firstLine="0"/>
            </w:pPr>
            <w:r>
              <w:rPr>
                <w:rFonts w:ascii="Aptos" w:hAnsi="Aptos"/>
                <w:b/>
                <w:color w:val="FFFFFF"/>
                <w:sz w:val="15"/>
              </w:rPr>
              <w:t>Entity / owner</w:t>
            </w:r>
          </w:p>
        </w:tc>
        <w:tc>
          <w:tcPr>
            <w:tcW w:type="dxa" w:w="1580"/>
            <w:tcMar>
              <w:top w:w="100" w:type="dxa"/>
              <w:start w:w="120" w:type="dxa"/>
              <w:bottom w:w="100" w:type="dxa"/>
              <w:end w:w="120" w:type="dxa"/>
            </w:tcMar>
            <w:vAlign w:val="center"/>
            <w:shd w:fill="17365D"/>
          </w:tcPr>
          <w:p>
            <w:pPr>
              <w:spacing w:after="0"/>
              <w:ind w:left="0" w:firstLine="0"/>
            </w:pPr>
            <w:r>
              <w:rPr>
                <w:rFonts w:ascii="Aptos" w:hAnsi="Aptos"/>
                <w:b/>
                <w:color w:val="FFFFFF"/>
                <w:sz w:val="15"/>
              </w:rPr>
              <w:t>Source / state</w:t>
            </w:r>
          </w:p>
        </w:tc>
        <w:tc>
          <w:tcPr>
            <w:tcW w:type="dxa" w:w="1320"/>
            <w:tcMar>
              <w:top w:w="100" w:type="dxa"/>
              <w:start w:w="120" w:type="dxa"/>
              <w:bottom w:w="100" w:type="dxa"/>
              <w:end w:w="120" w:type="dxa"/>
            </w:tcMar>
            <w:vAlign w:val="center"/>
            <w:shd w:fill="17365D"/>
          </w:tcPr>
          <w:p>
            <w:pPr>
              <w:spacing w:after="0"/>
              <w:ind w:left="0" w:firstLine="0"/>
            </w:pPr>
            <w:r>
              <w:rPr>
                <w:rFonts w:ascii="Aptos" w:hAnsi="Aptos"/>
                <w:b/>
                <w:color w:val="FFFFFF"/>
                <w:sz w:val="15"/>
              </w:rPr>
              <w:t>Decision window</w:t>
            </w:r>
          </w:p>
        </w:tc>
        <w:tc>
          <w:tcPr>
            <w:tcW w:type="dxa" w:w="2000"/>
            <w:tcMar>
              <w:top w:w="100" w:type="dxa"/>
              <w:start w:w="120" w:type="dxa"/>
              <w:bottom w:w="100" w:type="dxa"/>
              <w:end w:w="120" w:type="dxa"/>
            </w:tcMar>
            <w:vAlign w:val="center"/>
            <w:shd w:fill="17365D"/>
          </w:tcPr>
          <w:p>
            <w:pPr>
              <w:spacing w:after="0"/>
              <w:ind w:left="0" w:firstLine="0"/>
            </w:pPr>
            <w:r>
              <w:rPr>
                <w:rFonts w:ascii="Aptos" w:hAnsi="Aptos"/>
                <w:b/>
                <w:color w:val="FFFFFF"/>
                <w:sz w:val="15"/>
              </w:rPr>
              <w:t>Next action / gate</w:t>
            </w:r>
          </w:p>
        </w:tc>
        <w:tc>
          <w:tcPr>
            <w:tcW w:type="dxa" w:w="1200"/>
            <w:tcMar>
              <w:top w:w="100" w:type="dxa"/>
              <w:start w:w="120" w:type="dxa"/>
              <w:bottom w:w="100" w:type="dxa"/>
              <w:end w:w="120" w:type="dxa"/>
            </w:tcMar>
            <w:vAlign w:val="center"/>
            <w:shd w:fill="17365D"/>
          </w:tcPr>
          <w:p>
            <w:pPr>
              <w:spacing w:after="0"/>
              <w:ind w:left="0" w:firstLine="0"/>
            </w:pPr>
            <w:r>
              <w:rPr>
                <w:rFonts w:ascii="Aptos" w:hAnsi="Aptos"/>
                <w:b/>
                <w:color w:val="FFFFFF"/>
                <w:sz w:val="15"/>
              </w:rPr>
              <w:t>Proof</w:t>
            </w: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bl>
    <w:p>
      <w:pPr>
        <w:spacing w:after="0" w:line="20" w:lineRule="exact"/>
      </w:pPr>
      <w:r>
        <w:rPr>
          <w:rFonts w:ascii="Aptos" w:hAnsi="Aptos"/>
          <w:color w:val="FFFFFF"/>
          <w:sz w:val="2"/>
        </w:rPr>
        <w:t xml:space="preserve"> </w:t>
      </w:r>
    </w:p>
    <w:p>
      <w:pPr/>
      <w:r>
        <w:rPr>
          <w:rFonts w:ascii="Aptos" w:hAnsi="Aptos"/>
          <w:color w:val="17212B"/>
          <w:sz w:val="21"/>
        </w:rPr>
        <w:t>Board rule: one row per outcome. Use READY, IN PROGRESS, REVIEW, APPROVAL, WAITING, BLOCKED, DONE, or PARKED only as defined in §4.4.</w:t>
      </w:r>
    </w:p>
    <w:p>
      <w:pPr>
        <w:pStyle w:val="Heading2"/>
      </w:pPr>
      <w:r>
        <w:t>A2. Work brief</w:t>
      </w:r>
    </w:p>
    <w:p>
      <w:pPr>
        <w:spacing w:after="100"/>
      </w:pPr>
      <w:r>
        <w:rPr>
          <w:rFonts w:ascii="Aptos" w:hAnsi="Aptos"/>
          <w:b/>
          <w:color w:val="17365D"/>
          <w:sz w:val="19"/>
        </w:rPr>
        <w:t xml:space="preserve">Outcome: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Entity / accountable owner: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Requester / decision owner: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Controlling source: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Current verified status: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Completion test: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Decision window: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Dependencies / constraints: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Professional-review need: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Next action: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Proof location: </w:t>
      </w:r>
      <w:r>
        <w:rPr>
          <w:rFonts w:ascii="Aptos" w:hAnsi="Aptos"/>
          <w:color w:val="5B6773"/>
          <w:sz w:val="19"/>
        </w:rPr>
        <w:t>__________________________________________________________________</w:t>
      </w:r>
    </w:p>
    <w:p>
      <w:pPr>
        <w:pStyle w:val="Heading2"/>
        <w:pageBreakBefore/>
      </w:pPr>
      <w:r>
        <w:t>A3. Decision / approval request</w:t>
      </w:r>
    </w:p>
    <w:p>
      <w:pPr>
        <w:pStyle w:val="Checklist"/>
      </w:pPr>
      <w:r>
        <w:rPr>
          <w:rFonts w:ascii="Arial" w:hAnsi="Arial"/>
          <w:color w:val="2E74B5"/>
          <w:sz w:val="21"/>
        </w:rPr>
        <w:t xml:space="preserve">☐  </w:t>
      </w:r>
      <w:r>
        <w:rPr>
          <w:rFonts w:ascii="Aptos" w:hAnsi="Aptos"/>
          <w:color w:val="17212B"/>
          <w:sz w:val="20"/>
        </w:rPr>
        <w:t>Action and entity:</w:t>
      </w:r>
    </w:p>
    <w:p>
      <w:pPr>
        <w:pStyle w:val="Checklist"/>
      </w:pPr>
      <w:r>
        <w:rPr>
          <w:rFonts w:ascii="Arial" w:hAnsi="Arial"/>
          <w:color w:val="2E74B5"/>
          <w:sz w:val="21"/>
        </w:rPr>
        <w:t xml:space="preserve">☐  </w:t>
      </w:r>
      <w:r>
        <w:rPr>
          <w:rFonts w:ascii="Aptos" w:hAnsi="Aptos"/>
          <w:color w:val="17212B"/>
          <w:sz w:val="20"/>
        </w:rPr>
        <w:t>Exact final content / amount / terms / target:</w:t>
      </w:r>
    </w:p>
    <w:p>
      <w:pPr>
        <w:pStyle w:val="Checklist"/>
      </w:pPr>
      <w:r>
        <w:rPr>
          <w:rFonts w:ascii="Arial" w:hAnsi="Arial"/>
          <w:color w:val="2E74B5"/>
          <w:sz w:val="21"/>
        </w:rPr>
        <w:t xml:space="preserve">☐  </w:t>
      </w:r>
      <w:r>
        <w:rPr>
          <w:rFonts w:ascii="Aptos" w:hAnsi="Aptos"/>
          <w:color w:val="17212B"/>
          <w:sz w:val="20"/>
        </w:rPr>
        <w:t>Sender, recipients, destination, account, or provider:</w:t>
      </w:r>
    </w:p>
    <w:p>
      <w:pPr>
        <w:pStyle w:val="Checklist"/>
      </w:pPr>
      <w:r>
        <w:rPr>
          <w:rFonts w:ascii="Arial" w:hAnsi="Arial"/>
          <w:color w:val="2E74B5"/>
          <w:sz w:val="21"/>
        </w:rPr>
        <w:t xml:space="preserve">☐  </w:t>
      </w:r>
      <w:r>
        <w:rPr>
          <w:rFonts w:ascii="Aptos" w:hAnsi="Aptos"/>
          <w:color w:val="17212B"/>
          <w:sz w:val="20"/>
        </w:rPr>
        <w:t>Source and verification completed:</w:t>
      </w:r>
    </w:p>
    <w:p>
      <w:pPr>
        <w:pStyle w:val="Checklist"/>
      </w:pPr>
      <w:r>
        <w:rPr>
          <w:rFonts w:ascii="Arial" w:hAnsi="Arial"/>
          <w:color w:val="2E74B5"/>
          <w:sz w:val="21"/>
        </w:rPr>
        <w:t xml:space="preserve">☐  </w:t>
      </w:r>
      <w:r>
        <w:rPr>
          <w:rFonts w:ascii="Aptos" w:hAnsi="Aptos"/>
          <w:color w:val="17212B"/>
          <w:sz w:val="20"/>
        </w:rPr>
        <w:t>Material risks, conflicts, unavailable sources, or professional-review notes:</w:t>
      </w:r>
    </w:p>
    <w:p>
      <w:pPr>
        <w:pStyle w:val="Checklist"/>
      </w:pPr>
      <w:r>
        <w:rPr>
          <w:rFonts w:ascii="Arial" w:hAnsi="Arial"/>
          <w:color w:val="2E74B5"/>
          <w:sz w:val="21"/>
        </w:rPr>
        <w:t xml:space="preserve">☐  </w:t>
      </w:r>
      <w:r>
        <w:rPr>
          <w:rFonts w:ascii="Aptos" w:hAnsi="Aptos"/>
          <w:color w:val="17212B"/>
          <w:sz w:val="20"/>
        </w:rPr>
        <w:t>Execution owner and verification method:</w:t>
      </w:r>
    </w:p>
    <w:p>
      <w:pPr>
        <w:pStyle w:val="Checklist"/>
      </w:pPr>
      <w:r>
        <w:rPr>
          <w:rFonts w:ascii="Arial" w:hAnsi="Arial"/>
          <w:color w:val="2E74B5"/>
          <w:sz w:val="21"/>
        </w:rPr>
        <w:t xml:space="preserve">☐  </w:t>
      </w:r>
      <w:r>
        <w:rPr>
          <w:rFonts w:ascii="Aptos" w:hAnsi="Aptos"/>
          <w:color w:val="17212B"/>
          <w:sz w:val="20"/>
        </w:rPr>
        <w:t>Decision requested: approve / revise / decline:</w:t>
      </w:r>
    </w:p>
    <w:p>
      <w:pPr>
        <w:spacing w:after="80"/>
      </w:pPr>
      <w:r>
        <w:rPr>
          <w:rFonts w:ascii="Aptos" w:hAnsi="Aptos"/>
          <w:b/>
          <w:color w:val="17365D"/>
          <w:sz w:val="19"/>
        </w:rPr>
        <w:t xml:space="preserve">Recommendation: </w:t>
      </w:r>
      <w:r>
        <w:rPr>
          <w:rFonts w:ascii="Aptos" w:hAnsi="Aptos"/>
          <w:color w:val="5B6773"/>
          <w:sz w:val="19"/>
        </w:rPr>
        <w:t>__________________________________________________________________</w:t>
      </w:r>
    </w:p>
    <w:p>
      <w:pPr>
        <w:spacing w:after="80"/>
      </w:pPr>
      <w:r>
        <w:rPr>
          <w:rFonts w:ascii="Aptos" w:hAnsi="Aptos"/>
          <w:b/>
          <w:color w:val="17365D"/>
          <w:sz w:val="19"/>
        </w:rPr>
        <w:t xml:space="preserve">Verified basis: </w:t>
      </w:r>
      <w:r>
        <w:rPr>
          <w:rFonts w:ascii="Aptos" w:hAnsi="Aptos"/>
          <w:color w:val="5B6773"/>
          <w:sz w:val="19"/>
        </w:rPr>
        <w:t>__________________________________________________________________</w:t>
      </w:r>
    </w:p>
    <w:p>
      <w:pPr>
        <w:spacing w:after="80"/>
      </w:pPr>
      <w:r>
        <w:rPr>
          <w:rFonts w:ascii="Aptos" w:hAnsi="Aptos"/>
          <w:b/>
          <w:color w:val="17365D"/>
          <w:sz w:val="19"/>
        </w:rPr>
        <w:t xml:space="preserve">Material options / tradeoffs: </w:t>
      </w:r>
      <w:r>
        <w:rPr>
          <w:rFonts w:ascii="Aptos" w:hAnsi="Aptos"/>
          <w:color w:val="5B6773"/>
          <w:sz w:val="19"/>
        </w:rPr>
        <w:t>__________________________________________________________________</w:t>
      </w:r>
    </w:p>
    <w:p>
      <w:pPr>
        <w:spacing w:after="80"/>
      </w:pPr>
      <w:r>
        <w:rPr>
          <w:rFonts w:ascii="Aptos" w:hAnsi="Aptos"/>
          <w:b/>
          <w:color w:val="17365D"/>
          <w:sz w:val="19"/>
        </w:rPr>
        <w:t xml:space="preserve">Open uncertainty: </w:t>
      </w:r>
      <w:r>
        <w:rPr>
          <w:rFonts w:ascii="Aptos" w:hAnsi="Aptos"/>
          <w:color w:val="5B6773"/>
          <w:sz w:val="19"/>
        </w:rPr>
        <w:t>__________________________________________________________________</w:t>
      </w:r>
    </w:p>
    <w:p>
      <w:pPr>
        <w:spacing w:after="80"/>
      </w:pPr>
      <w:r>
        <w:rPr>
          <w:rFonts w:ascii="Aptos" w:hAnsi="Aptos"/>
          <w:b/>
          <w:color w:val="17365D"/>
          <w:sz w:val="19"/>
        </w:rPr>
        <w:t xml:space="preserve">Execution owner / verification / rollback: </w:t>
      </w:r>
      <w:r>
        <w:rPr>
          <w:rFonts w:ascii="Aptos" w:hAnsi="Aptos"/>
          <w:color w:val="5B6773"/>
          <w:sz w:val="19"/>
        </w:rPr>
        <w:t>__________________________________________________________________</w:t>
      </w:r>
    </w:p>
    <w:p>
      <w:pPr>
        <w:pStyle w:val="Heading2"/>
        <w:pageBreakBefore/>
      </w:pPr>
      <w:r>
        <w:t>A4. Completion record</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00"/>
        <w:gridCol w:w="6960"/>
      </w:tblGrid>
      <w:tr>
        <w:trPr>
          <w:tblHeader w:val="true"/>
        </w:trPr>
        <w:tc>
          <w:tcPr>
            <w:tcW w:type="dxa" w:w="2400"/>
            <w:tcMar>
              <w:top w:w="100" w:type="dxa"/>
              <w:start w:w="120" w:type="dxa"/>
              <w:bottom w:w="100" w:type="dxa"/>
              <w:end w:w="120" w:type="dxa"/>
            </w:tcMar>
            <w:vAlign w:val="center"/>
            <w:shd w:fill="17365D"/>
          </w:tcPr>
          <w:p>
            <w:pPr>
              <w:spacing w:after="0"/>
              <w:ind w:left="0" w:firstLine="0"/>
            </w:pPr>
            <w:r>
              <w:rPr>
                <w:rFonts w:ascii="Aptos" w:hAnsi="Aptos"/>
                <w:b/>
                <w:color w:val="FFFFFF"/>
                <w:sz w:val="18"/>
              </w:rPr>
              <w:t>Field</w:t>
            </w:r>
          </w:p>
        </w:tc>
        <w:tc>
          <w:tcPr>
            <w:tcW w:type="dxa" w:w="6960"/>
            <w:tcMar>
              <w:top w:w="100" w:type="dxa"/>
              <w:start w:w="120" w:type="dxa"/>
              <w:bottom w:w="100" w:type="dxa"/>
              <w:end w:w="120" w:type="dxa"/>
            </w:tcMar>
            <w:vAlign w:val="center"/>
            <w:shd w:fill="17365D"/>
          </w:tcPr>
          <w:p>
            <w:pPr>
              <w:spacing w:after="0"/>
              <w:ind w:left="0" w:firstLine="0"/>
            </w:pPr>
            <w:r>
              <w:rPr>
                <w:rFonts w:ascii="Aptos" w:hAnsi="Aptos"/>
                <w:b/>
                <w:color w:val="FFFFFF"/>
                <w:sz w:val="18"/>
              </w:rPr>
              <w:t>Record</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Outcome / object</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Entity</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Accountable owner</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Controlling source</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Approval reference</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Executed by / date</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Verified by / date</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Verification method</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Proof location</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Discrepancy / follow-up</w:t>
            </w:r>
          </w:p>
        </w:tc>
        <w:tc>
          <w:tcPr>
            <w:tcW w:type="dxa" w:w="6960"/>
            <w:tcMar>
              <w:top w:w="100" w:type="dxa"/>
              <w:start w:w="120" w:type="dxa"/>
              <w:bottom w:w="100" w:type="dxa"/>
              <w:end w:w="120" w:type="dxa"/>
            </w:tcMar>
            <w:vAlign w:val="center"/>
          </w:tcPr>
          <w:p>
            <w:pPr>
              <w:spacing w:after="0"/>
              <w:ind w:left="0" w:firstLine="0"/>
            </w:pPr>
          </w:p>
        </w:tc>
      </w:tr>
    </w:tbl>
    <w:p>
      <w:pPr>
        <w:spacing w:after="0" w:line="20" w:lineRule="exact"/>
      </w:pPr>
      <w:r>
        <w:rPr>
          <w:rFonts w:ascii="Aptos" w:hAnsi="Aptos"/>
          <w:color w:val="FFFFFF"/>
          <w:sz w:val="2"/>
        </w:rPr>
        <w:t xml:space="preserve"> </w:t>
      </w:r>
    </w:p>
    <w:p>
      <w:pPr>
        <w:pStyle w:val="Heading2"/>
        <w:pageBreakBefore/>
      </w:pPr>
      <w:r>
        <w:t>A5. Incident / exception record</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850"/>
        <w:gridCol w:w="6510"/>
      </w:tblGrid>
      <w:tr>
        <w:trPr>
          <w:tblHeader w:val="true"/>
        </w:trPr>
        <w:tc>
          <w:tcPr>
            <w:tcW w:type="dxa" w:w="2850"/>
            <w:tcMar>
              <w:top w:w="100" w:type="dxa"/>
              <w:start w:w="120" w:type="dxa"/>
              <w:bottom w:w="100" w:type="dxa"/>
              <w:end w:w="120" w:type="dxa"/>
            </w:tcMar>
            <w:vAlign w:val="center"/>
            <w:shd w:fill="17365D"/>
          </w:tcPr>
          <w:p>
            <w:pPr>
              <w:spacing w:after="0"/>
              <w:ind w:left="0" w:firstLine="0"/>
            </w:pPr>
            <w:r>
              <w:rPr>
                <w:rFonts w:ascii="Aptos" w:hAnsi="Aptos"/>
                <w:b/>
                <w:color w:val="FFFFFF"/>
                <w:sz w:val="18"/>
              </w:rPr>
              <w:t>Field</w:t>
            </w:r>
          </w:p>
        </w:tc>
        <w:tc>
          <w:tcPr>
            <w:tcW w:type="dxa" w:w="6510"/>
            <w:tcMar>
              <w:top w:w="100" w:type="dxa"/>
              <w:start w:w="120" w:type="dxa"/>
              <w:bottom w:w="100" w:type="dxa"/>
              <w:end w:w="120" w:type="dxa"/>
            </w:tcMar>
            <w:vAlign w:val="center"/>
            <w:shd w:fill="17365D"/>
          </w:tcPr>
          <w:p>
            <w:pPr>
              <w:spacing w:after="0"/>
              <w:ind w:left="0" w:firstLine="0"/>
            </w:pPr>
            <w:r>
              <w:rPr>
                <w:rFonts w:ascii="Aptos" w:hAnsi="Aptos"/>
                <w:b/>
                <w:color w:val="FFFFFF"/>
                <w:sz w:val="18"/>
              </w:rPr>
              <w:t>Record</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Date / reporter</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Entity / affected object</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What was expected</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What occurred / known facts</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Immediate safety / containment action</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Evidence preserved</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Owner notified / approval</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Professional / provider routing</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Corrective action / owner / due date</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Closure proof</w:t>
            </w:r>
          </w:p>
        </w:tc>
        <w:tc>
          <w:tcPr>
            <w:tcW w:type="dxa" w:w="6510"/>
            <w:tcMar>
              <w:top w:w="100" w:type="dxa"/>
              <w:start w:w="120" w:type="dxa"/>
              <w:bottom w:w="100" w:type="dxa"/>
              <w:end w:w="120" w:type="dxa"/>
            </w:tcMar>
            <w:vAlign w:val="center"/>
          </w:tcPr>
          <w:p>
            <w:pPr>
              <w:spacing w:after="0"/>
              <w:ind w:left="0" w:firstLine="0"/>
            </w:pPr>
          </w:p>
        </w:tc>
      </w:tr>
    </w:tbl>
    <w:p>
      <w:pPr>
        <w:spacing w:after="0" w:line="20" w:lineRule="exact"/>
      </w:pPr>
      <w:r>
        <w:rPr>
          <w:rFonts w:ascii="Aptos" w:hAnsi="Aptos"/>
          <w:color w:val="FFFFFF"/>
          <w:sz w:val="2"/>
        </w:rPr>
        <w:t xml:space="preserve"> </w:t>
      </w:r>
    </w:p>
    <w:p>
      <w:pPr>
        <w:pStyle w:val="Heading1"/>
        <w:pageBreakBefore/>
      </w:pPr>
      <w:r>
        <w:t>Appendix B. Owner and Professional Review Checklist</w:t>
      </w:r>
    </w:p>
    <w:p>
      <w:pPr>
        <w:pStyle w:val="Checklist"/>
      </w:pPr>
      <w:r>
        <w:rPr>
          <w:rFonts w:ascii="Arial" w:hAnsi="Arial"/>
          <w:color w:val="2E74B5"/>
          <w:sz w:val="21"/>
        </w:rPr>
        <w:t xml:space="preserve">☐  </w:t>
      </w:r>
      <w:r>
        <w:rPr>
          <w:rFonts w:ascii="Aptos" w:hAnsi="Aptos"/>
          <w:color w:val="17212B"/>
          <w:sz w:val="20"/>
        </w:rPr>
        <w:t>Confirm this manual is the intended sole organization-wide internal procedure source, while the employee handbook and onboarding materials remain separate.</w:t>
      </w:r>
    </w:p>
    <w:p>
      <w:pPr>
        <w:pStyle w:val="Checklist"/>
      </w:pPr>
      <w:r>
        <w:rPr>
          <w:rFonts w:ascii="Arial" w:hAnsi="Arial"/>
          <w:color w:val="2E74B5"/>
          <w:sz w:val="21"/>
        </w:rPr>
        <w:t xml:space="preserve">☐  </w:t>
      </w:r>
      <w:r>
        <w:rPr>
          <w:rFonts w:ascii="Aptos" w:hAnsi="Aptos"/>
          <w:color w:val="17212B"/>
          <w:sz w:val="20"/>
        </w:rPr>
        <w:t>Confirm the authority matrix and whether any delegation must be named in a separate, controlled schedule.</w:t>
      </w:r>
    </w:p>
    <w:p>
      <w:pPr>
        <w:pStyle w:val="Checklist"/>
      </w:pPr>
      <w:r>
        <w:rPr>
          <w:rFonts w:ascii="Arial" w:hAnsi="Arial"/>
          <w:color w:val="2E74B5"/>
          <w:sz w:val="21"/>
        </w:rPr>
        <w:t xml:space="preserve">☐  </w:t>
      </w:r>
      <w:r>
        <w:rPr>
          <w:rFonts w:ascii="Aptos" w:hAnsi="Aptos"/>
          <w:color w:val="17212B"/>
          <w:sz w:val="20"/>
        </w:rPr>
        <w:t>Confirm the Company service boundary and related-entity/client separation language.</w:t>
      </w:r>
    </w:p>
    <w:p>
      <w:pPr>
        <w:pStyle w:val="Checklist"/>
      </w:pPr>
      <w:r>
        <w:rPr>
          <w:rFonts w:ascii="Arial" w:hAnsi="Arial"/>
          <w:color w:val="2E74B5"/>
          <w:sz w:val="21"/>
        </w:rPr>
        <w:t xml:space="preserve">☐  </w:t>
      </w:r>
      <w:r>
        <w:rPr>
          <w:rFonts w:ascii="Aptos" w:hAnsi="Aptos"/>
          <w:color w:val="17212B"/>
          <w:sz w:val="20"/>
        </w:rPr>
        <w:t>Confirm the exact systems, storage locations, secure channels, and access-register owner referenced by future companion procedures.</w:t>
      </w:r>
    </w:p>
    <w:p>
      <w:pPr>
        <w:pStyle w:val="Checklist"/>
      </w:pPr>
      <w:r>
        <w:rPr>
          <w:rFonts w:ascii="Arial" w:hAnsi="Arial"/>
          <w:color w:val="2E74B5"/>
          <w:sz w:val="21"/>
        </w:rPr>
        <w:t xml:space="preserve">☐  </w:t>
      </w:r>
      <w:r>
        <w:rPr>
          <w:rFonts w:ascii="Aptos" w:hAnsi="Aptos"/>
          <w:color w:val="17212B"/>
          <w:sz w:val="20"/>
        </w:rPr>
        <w:t>Confirm financial approval, external communication, publication, access-change, filing, signature, and deletion gates.</w:t>
      </w:r>
    </w:p>
    <w:p>
      <w:pPr>
        <w:pStyle w:val="Checklist"/>
      </w:pPr>
      <w:r>
        <w:rPr>
          <w:rFonts w:ascii="Arial" w:hAnsi="Arial"/>
          <w:color w:val="2E74B5"/>
          <w:sz w:val="21"/>
        </w:rPr>
        <w:t xml:space="preserve">☐  Have employment/privacy counsel for the actual work jurisdictions review only the provisions that affect workers, monitoring, equipment, safety, and employment records before issuance.</w:t>
      </w:r>
      <w:r>
        <w:rPr>
          <w:rFonts w:ascii="Aptos" w:hAnsi="Aptos"/>
          <w:color w:val="17212B"/>
          <w:sz w:val="20"/>
        </w:rPr>
        <w:t/>
      </w:r>
    </w:p>
    <w:p>
      <w:pPr>
        <w:pStyle w:val="Checklist"/>
      </w:pPr>
      <w:r>
        <w:rPr>
          <w:rFonts w:ascii="Arial" w:hAnsi="Arial"/>
          <w:color w:val="2E74B5"/>
          <w:sz w:val="21"/>
        </w:rPr>
        <w:t xml:space="preserve">☐  </w:t>
      </w:r>
      <w:r>
        <w:rPr>
          <w:rFonts w:ascii="Aptos" w:hAnsi="Aptos"/>
          <w:color w:val="17212B"/>
          <w:sz w:val="20"/>
        </w:rPr>
        <w:t>Have the CPA/payroll professional review only the operating procedures that touch financial controls, tax records, payroll administration, or accounting responsibility.</w:t>
      </w:r>
    </w:p>
    <w:p>
      <w:pPr>
        <w:pStyle w:val="Checklist"/>
      </w:pPr>
      <w:r>
        <w:rPr>
          <w:rFonts w:ascii="Arial" w:hAnsi="Arial"/>
          <w:color w:val="2E74B5"/>
          <w:sz w:val="21"/>
        </w:rPr>
        <w:t xml:space="preserve">☐  </w:t>
      </w:r>
      <w:r>
        <w:rPr>
          <w:rFonts w:ascii="Aptos" w:hAnsi="Aptos"/>
          <w:color w:val="17212B"/>
          <w:sz w:val="20"/>
        </w:rPr>
        <w:t>Have the insurance broker confirm that procedures do not misstate bound coverage, notice duties, or claims handling.</w:t>
      </w:r>
    </w:p>
    <w:p>
      <w:pPr>
        <w:pStyle w:val="Checklist"/>
      </w:pPr>
      <w:r>
        <w:rPr>
          <w:rFonts w:ascii="Arial" w:hAnsi="Arial"/>
          <w:color w:val="2E74B5"/>
          <w:sz w:val="21"/>
        </w:rPr>
        <w:t xml:space="preserve">☐  </w:t>
      </w:r>
      <w:r>
        <w:rPr>
          <w:rFonts w:ascii="Aptos" w:hAnsi="Aptos"/>
          <w:color w:val="17212B"/>
          <w:sz w:val="20"/>
        </w:rPr>
        <w:t>Have qualified counsel or licensing professionals review client-service, contract, licensing, regulated-activity, and retention provisions as the Company activates those lanes.</w:t>
      </w:r>
    </w:p>
    <w:p>
      <w:pPr>
        <w:pStyle w:val="Checklist"/>
      </w:pPr>
      <w:r>
        <w:rPr>
          <w:rFonts w:ascii="Arial" w:hAnsi="Arial"/>
          <w:color w:val="2E74B5"/>
          <w:sz w:val="21"/>
        </w:rPr>
        <w:t xml:space="preserve">☐  </w:t>
      </w:r>
      <w:r>
        <w:rPr>
          <w:rFonts w:ascii="Aptos" w:hAnsi="Aptos"/>
          <w:color w:val="17212B"/>
          <w:sz w:val="20"/>
        </w:rPr>
        <w:t>After review, record approved revisions, effective date, owner, superseded source, distribution, acknowledgements if applicable, and the next scheduled review.</w:t>
      </w:r>
    </w:p>
    <w:tbl>
      <w:tblPr>
        <w:tblW w:type="dxa" w:w="9360"/>
        <w:jc w:val="left"/>
        <w:tblLayout w:type="fixed"/>
        <w:tblLook w:firstColumn="1" w:firstRow="1" w:lastColumn="0" w:lastRow="0" w:noHBand="0" w:noVBand="1" w:val="04A0"/>
        <w:tblInd w:w="120" w:type="dxa"/>
        <w:tblBorders>
          <w:top w:val="single" w:sz="8" w:space="0" w:color="9B1C1C"/>
          <w:left w:val="single" w:sz="8" w:space="0" w:color="9B1C1C"/>
          <w:bottom w:val="single" w:sz="8" w:space="0" w:color="9B1C1C"/>
          <w:right w:val="single" w:sz="8" w:space="0" w:color="9B1C1C"/>
          <w:insideH w:val="single" w:sz="8" w:space="0" w:color="9B1C1C"/>
          <w:insideV w:val="single" w:sz="8" w:space="0" w:color="9B1C1C"/>
        </w:tblBorders>
      </w:tblPr>
      <w:tblGrid>
        <w:gridCol w:w="9360"/>
      </w:tblGrid>
      <w:tr>
        <w:trPr>
          <w:tblHeader w:val="true"/>
        </w:trPr>
        <w:tc>
          <w:tcPr>
            <w:tcW w:type="dxa" w:w="9360"/>
            <w:tcMar>
              <w:top w:w="130" w:type="dxa"/>
              <w:start w:w="180" w:type="dxa"/>
              <w:bottom w:w="130" w:type="dxa"/>
              <w:end w:w="180" w:type="dxa"/>
            </w:tcMar>
            <w:vAlign w:val="center"/>
            <w:shd w:fill="FCE8E6"/>
          </w:tcPr>
          <w:p>
            <w:pPr>
              <w:spacing w:after="0"/>
            </w:pPr>
            <w:r>
              <w:rPr>
                <w:rFonts w:ascii="Aptos" w:hAnsi="Aptos"/>
                <w:b/>
                <w:color w:val="9B1C1C"/>
                <w:sz w:val="19"/>
              </w:rPr>
              <w:t xml:space="preserve">CURRENT STATUS  </w:t>
            </w:r>
            <w:r>
              <w:rPr>
                <w:rFonts w:ascii="Aptos" w:hAnsi="Aptos"/>
                <w:color w:val="17212B"/>
                <w:sz w:val="19"/>
              </w:rPr>
              <w:t>Review candidate only. No external communication, upload, publication, access change, purchase, filing, signature, policy issuance, or operational-system change was performed in creating this manual.</w:t>
            </w:r>
          </w:p>
        </w:tc>
      </w:tr>
    </w:tbl>
    <w:p>
      <w:pPr>
        <w:spacing w:after="20"/>
      </w:pPr>
    </w:p>
    <w:p>
      <w:pPr>
        <w:pStyle w:val="Heading1"/>
        <w:pageBreakBefore/>
      </w:pPr>
      <w:r>
        <w:t>Appendix C. Source Basis and Companion Documents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750"/>
        <w:gridCol w:w="4200"/>
        <w:gridCol w:w="3410"/>
      </w:tblGrid>
      <w:tr>
        <w:trPr>
          <w:tblHeader w:val="true"/>
        </w:trPr>
        <w:tc>
          <w:tcPr>
            <w:tcW w:type="dxa" w:w="1750"/>
            <w:tcMar>
              <w:top w:w="100" w:type="dxa"/>
              <w:start w:w="120" w:type="dxa"/>
              <w:bottom w:w="100" w:type="dxa"/>
              <w:end w:w="120" w:type="dxa"/>
            </w:tcMar>
            <w:vAlign w:val="center"/>
            <w:shd w:fill="17365D"/>
          </w:tcPr>
          <w:p>
            <w:pPr>
              <w:spacing w:after="0"/>
              <w:ind w:left="0" w:firstLine="0"/>
            </w:pPr>
            <w:r>
              <w:rPr>
                <w:rFonts w:ascii="Aptos" w:hAnsi="Aptos"/>
                <w:b/>
                <w:color w:val="FFFFFF"/>
                <w:sz w:val="16"/>
              </w:rPr>
              <w:t>Status</w:t>
            </w:r>
          </w:p>
        </w:tc>
        <w:tc>
          <w:tcPr>
            <w:tcW w:type="dxa" w:w="4200"/>
            <w:tcMar>
              <w:top w:w="100" w:type="dxa"/>
              <w:start w:w="120" w:type="dxa"/>
              <w:bottom w:w="100" w:type="dxa"/>
              <w:end w:w="120" w:type="dxa"/>
            </w:tcMar>
            <w:vAlign w:val="center"/>
            <w:shd w:fill="17365D"/>
          </w:tcPr>
          <w:p>
            <w:pPr>
              <w:spacing w:after="0"/>
              <w:ind w:left="0" w:firstLine="0"/>
            </w:pPr>
            <w:r>
              <w:rPr>
                <w:rFonts w:ascii="Aptos" w:hAnsi="Aptos"/>
                <w:b/>
                <w:color w:val="FFFFFF"/>
                <w:sz w:val="16"/>
              </w:rPr>
              <w:t>Source</w:t>
            </w:r>
          </w:p>
        </w:tc>
        <w:tc>
          <w:tcPr>
            <w:tcW w:type="dxa" w:w="3410"/>
            <w:tcMar>
              <w:top w:w="100" w:type="dxa"/>
              <w:start w:w="120" w:type="dxa"/>
              <w:bottom w:w="100" w:type="dxa"/>
              <w:end w:w="120" w:type="dxa"/>
            </w:tcMar>
            <w:vAlign w:val="center"/>
            <w:shd w:fill="17365D"/>
          </w:tcPr>
          <w:p>
            <w:pPr>
              <w:spacing w:after="0"/>
              <w:ind w:left="0" w:firstLine="0"/>
            </w:pPr>
            <w:r>
              <w:rPr>
                <w:rFonts w:ascii="Aptos" w:hAnsi="Aptos"/>
                <w:b/>
                <w:color w:val="FFFFFF"/>
                <w:sz w:val="16"/>
              </w:rPr>
              <w:t>Material reused</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Template reference</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Retained CSG Operations Manual local review candidate dated August 21, 2026</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Full procedure structure, approval and evidence standards, records controls and reusable operating templates.</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Owner preparation</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Owner Setup and Tailoring Checklist</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Unresolved company choices and review points before adoption.</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Recipient resource</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Operational Registers and Closeout Templates</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Blank assignment, access, device, provider and period-close records.</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Recipient resource</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Employee Handbook and Employee Offer and Onboarding Record</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Separate employee-facing policies, offer terms and onboarding fields; not adopted.</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Package context</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Private working review package</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Not an issued company procedure or an agreement for continuing services.</w:t>
            </w:r>
          </w:p>
        </w:tc>
      </w:tr>
    </w:tbl>
    <w:p>
      <w:pPr>
        <w:spacing w:after="0" w:line="20" w:lineRule="exact"/>
      </w:pPr>
      <w:r>
        <w:rPr>
          <w:rFonts w:ascii="Aptos" w:hAnsi="Aptos"/>
          <w:color w:val="FFFFFF"/>
          <w:sz w:val="2"/>
        </w:rPr>
        <w:t xml:space="preserve"> </w:t>
      </w:r>
    </w:p>
    <w:p>
      <w:pPr>
        <w:pStyle w:val="Heading2"/>
      </w:pPr>
      <w:r>
        <w:t>Source-handling note</w:t>
      </w:r>
    </w:p>
    <w:p>
      <w:pPr/>
      <w:r>
        <w:rPr>
          <w:rFonts w:ascii="Aptos" w:hAnsi="Aptos"/>
          <w:color w:val="17212B"/>
          <w:sz w:val="21"/>
        </w:rPr>
        <w:t>This review candidate consolidates reusable operational controls; it intentionally omits time-sensitive employee pay, classification, payroll configuration, insurance status, licensing status, tax treatment, employee-start details, and client-specific activation decisions. No source was renamed, moved, deleted, uploaded, or modified.</w:t>
      </w:r>
    </w:p>
    <w:p>
      <w:pPr>
        <w:pStyle w:val="Heading2"/>
      </w:pPr>
      <w:r>
        <w:t>Document control</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00"/>
        <w:gridCol w:w="6960"/>
      </w:tblGrid>
      <w:tr>
        <w:trPr>
          <w:tblHeader w:val="true"/>
        </w:trPr>
        <w:tc>
          <w:tcPr>
            <w:tcW w:type="dxa" w:w="2400"/>
            <w:tcMar>
              <w:top w:w="100" w:type="dxa"/>
              <w:start w:w="120" w:type="dxa"/>
              <w:bottom w:w="100" w:type="dxa"/>
              <w:end w:w="120" w:type="dxa"/>
            </w:tcMar>
            <w:vAlign w:val="center"/>
            <w:shd w:fill="17365D"/>
          </w:tcPr>
          <w:p>
            <w:pPr>
              <w:spacing w:after="0"/>
              <w:ind w:left="0" w:firstLine="0"/>
            </w:pPr>
            <w:r>
              <w:rPr>
                <w:rFonts w:ascii="Aptos" w:hAnsi="Aptos"/>
                <w:b/>
                <w:color w:val="FFFFFF"/>
                <w:sz w:val="18"/>
              </w:rPr>
              <w:t>Field</w:t>
            </w:r>
          </w:p>
        </w:tc>
        <w:tc>
          <w:tcPr>
            <w:tcW w:type="dxa" w:w="6960"/>
            <w:tcMar>
              <w:top w:w="100" w:type="dxa"/>
              <w:start w:w="120" w:type="dxa"/>
              <w:bottom w:w="100" w:type="dxa"/>
              <w:end w:w="120" w:type="dxa"/>
            </w:tcMar>
            <w:vAlign w:val="center"/>
            <w:shd w:fill="17365D"/>
          </w:tcPr>
          <w:p>
            <w:pPr>
              <w:spacing w:after="0"/>
              <w:ind w:left="0" w:firstLine="0"/>
            </w:pPr>
            <w:r>
              <w:rPr>
                <w:rFonts w:ascii="Aptos" w:hAnsi="Aptos"/>
                <w:b/>
                <w:color w:val="FFFFFF"/>
                <w:sz w:val="18"/>
              </w:rPr>
              <w:t>Value</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Document title</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Systematic Business Operations Operations Manual</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Status</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Adaptation draft — Not adopted or executed</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Candidate date</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September 15, 2026</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Systematic Business Operations / Owner or authorized decision maker</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Next action</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Owner review, targeted professional review, revision, and explicit issuance decision</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Supersession</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No adoption by this draft. Preserve existing approved company policies until the owner authorizes a reviewed replacement.</w:t>
            </w:r>
          </w:p>
        </w:tc>
      </w:tr>
    </w:tbl>
    <w:p>
      <w:pPr>
        <w:spacing w:after="0" w:line="20" w:lineRule="exact"/>
      </w:pPr>
      <w:r>
        <w:rPr>
          <w:rFonts w:ascii="Aptos" w:hAnsi="Aptos"/>
          <w:color w:val="FFFFFF"/>
          <w:sz w:val="2"/>
        </w:rPr>
        <w:t xml:space="preserve"> </w:t>
      </w:r>
    </w:p>
    <w:p>
      <w:pPr>
        <w:pStyle w:val="Heading1"/>
        <w:pageBreakBefore/>
      </w:pPr>
      <w:r>
        <w:t xml:space="preserve">Appendix D Company Implementation Checklist</w:t>
      </w:r>
    </w:p>
    <w:p>
      <w:pPr>
        <w:pStyle w:val="Heading1"/>
      </w:pPr>
      <w:r>
        <w:t>1 Purpose and authority</w:t>
      </w:r>
    </w:p>
    <w:p>
      <w:r>
        <w:t>This manual establishes how the Company receives work, approves commitments, keeps records, protects information, and closes assignments. The owner retains Company decisions and appoints any person authorized to act for the Company.</w:t>
      </w:r>
    </w:p>
    <w:p>
      <w:pPr>
        <w:pStyle w:val="Heading1"/>
      </w:pPr>
      <w:r>
        <w:t>2 Work intake and assignment</w:t>
      </w:r>
    </w:p>
    <w:p>
      <w:r>
        <w:t>Record the customer, project, requested result, scope, price or approved budget, responsible person, due date, finish condition, and record location before work begins.</w:t>
      </w:r>
    </w:p>
    <w:p>
      <w:r>
        <w:t>Assign one responsible person for each active deliverable. The responsible person returns the completed work and supporting records to the stated location.</w:t>
      </w:r>
    </w:p>
    <w:p>
      <w:r>
        <w:t>Record changes to scope, price, due date, authority, or customer commitment before the changed work begins.</w:t>
      </w:r>
    </w:p>
    <w:p>
      <w:pPr>
        <w:pStyle w:val="Heading1"/>
      </w:pPr>
      <w:r>
        <w:t>3 Contracting and customer work</w:t>
      </w:r>
    </w:p>
    <w:p>
      <w:r>
        <w:t>The Manager approves the customer, final scope, price, contract, and person authorized to sign.</w:t>
      </w:r>
    </w:p>
    <w:p>
      <w:r>
        <w:t>Use a written scope for every paid engagement. State deliverables, customer responsibilities, acceptance, schedule, fees, expenses, confidentiality, data handling, intellectual-property terms, and termination.</w:t>
      </w:r>
    </w:p>
    <w:p>
      <w:r>
        <w:t>Store the signed agreement, change orders, work product, acceptance, invoice, and payment record in the customer file.</w:t>
      </w:r>
    </w:p>
    <w:p>
      <w:pPr>
        <w:pStyle w:val="Heading1"/>
      </w:pPr>
      <w:r>
        <w:t>4 Purchasing and payments</w:t>
      </w:r>
    </w:p>
    <w:p>
      <w:r>
        <w:t>Obtain the Manager's approval before committing Company funds.</w:t>
      </w:r>
    </w:p>
    <w:p>
      <w:r>
        <w:t>The purchase record identifies the vendor, item or service, business purpose, amount, entity, payment source, approver, invoice or receipt, and destination or custodian.</w:t>
      </w:r>
    </w:p>
    <w:p>
      <w:r>
        <w:t>Match each payment to its invoice, receipt, contract, or approved schedule before bookkeeping entry.</w:t>
      </w:r>
    </w:p>
    <w:p>
      <w:r>
        <w:t>Reconcile bank, card, payment-service, and subscription activity monthly.</w:t>
      </w:r>
    </w:p>
    <w:p>
      <w:pPr>
        <w:pStyle w:val="Heading1"/>
      </w:pPr>
      <w:r>
        <w:t>5 Vendors and contractors</w:t>
      </w:r>
    </w:p>
    <w:p>
      <w:r>
        <w:t>Complete the vendor record before work begins: legal name, tax form, scope, rate, term, insurance and license facts, data/property access, work-product terms, and signing authority.</w:t>
      </w:r>
    </w:p>
    <w:p>
      <w:r>
        <w:t>Use the approved Independent Contractor Services Agreement and a completed statement of work.</w:t>
      </w:r>
    </w:p>
    <w:p>
      <w:r>
        <w:t>File deliverables, approvals, invoices, payments, and closeout records with the vendor agreement.</w:t>
      </w:r>
    </w:p>
    <w:p>
      <w:pPr>
        <w:pStyle w:val="Heading1"/>
      </w:pPr>
      <w:r>
        <w:t>6 People devices and access</w:t>
      </w:r>
    </w:p>
    <w:p>
      <w:r>
        <w:t>Complete the employment or contractor record before assigning paid work.</w:t>
      </w:r>
    </w:p>
    <w:p>
      <w:r>
        <w:t>Issue devices, accounts, keys, records, and facilities through the approved custody and access forms.</w:t>
      </w:r>
    </w:p>
    <w:p>
      <w:r>
        <w:t>Remove access and recover Company property on the person's last authorized day.</w:t>
      </w:r>
    </w:p>
    <w:p>
      <w:pPr>
        <w:pStyle w:val="Heading1"/>
      </w:pPr>
      <w:r>
        <w:t>7 Bookkeeping and record filing</w:t>
      </w:r>
    </w:p>
    <w:p>
      <w:r>
        <w:t>Use the legal Company name and the correct Company bank, card, provider, and accounting file.</w:t>
      </w:r>
    </w:p>
    <w:p>
      <w:r>
        <w:t>Enter a transaction only with a supporting source document and the correct date, payee, amount, account, class or project, and business purpose.</w:t>
      </w:r>
    </w:p>
    <w:p>
      <w:r>
        <w:t>Maintain a monthly close record covering bank and card reconciliations, receivables, payables, payroll, subscriptions, fixed assets, owner activity, and exceptions.</w:t>
      </w:r>
    </w:p>
    <w:p>
      <w:pPr>
        <w:pStyle w:val="Heading1"/>
      </w:pPr>
      <w:r>
        <w:t>8 Record retention</w:t>
      </w:r>
    </w:p>
    <w:tbl>
      <w:tblPr>
        <w:tblStyle w:val="TableGrid"/>
        <w:tblW w:type="auto" w:w="0"/>
        <w:tblLook w:firstColumn="1" w:firstRow="1" w:lastColumn="0" w:lastRow="0" w:noHBand="0" w:noVBand="1" w:val="04A0"/>
      </w:tblPr>
      <w:tblGrid>
        <w:gridCol w:w="4680"/>
        <w:gridCol w:w="4680"/>
      </w:tblGrid>
      <w:tr>
        <w:trPr>
          <w:tblHeader/>
        </w:trPr>
        <w:tc>
          <w:tcPr>
            <w:tcW w:type="dxa" w:w="4680"/>
            <w:shd w:fill="E8EEF3"/>
            <w:tcBorders>
              <w:top w:val="single" w:sz="4" w:color="D9D9D9"/>
              <w:left w:val="single" w:sz="4" w:color="D9D9D9"/>
              <w:bottom w:val="single" w:sz="4" w:color="D9D9D9"/>
              <w:right w:val="single" w:sz="4" w:color="D9D9D9"/>
            </w:tcBorders>
          </w:tcPr>
          <w:p>
            <w:r>
              <w:rPr>
                <w:b/>
              </w:rPr>
              <w:t>Record class</w:t>
            </w:r>
          </w:p>
        </w:tc>
        <w:tc>
          <w:tcPr>
            <w:tcW w:type="dxa" w:w="4680"/>
            <w:shd w:fill="E8EEF3"/>
            <w:tcBorders>
              <w:top w:val="single" w:sz="4" w:color="D9D9D9"/>
              <w:left w:val="single" w:sz="4" w:color="D9D9D9"/>
              <w:bottom w:val="single" w:sz="4" w:color="D9D9D9"/>
              <w:right w:val="single" w:sz="4" w:color="D9D9D9"/>
            </w:tcBorders>
          </w:tcPr>
          <w:p>
            <w:r>
              <w:rPr>
                <w:b/>
              </w:rPr>
              <w:t>Proposed retention period</w:t>
            </w:r>
          </w:p>
        </w:tc>
      </w:tr>
      <w:tr>
        <w:tc>
          <w:tcPr>
            <w:tcW w:type="dxa" w:w="4680"/>
            <w:tcBorders>
              <w:top w:val="single" w:sz="4" w:color="D9D9D9"/>
              <w:left w:val="single" w:sz="4" w:color="D9D9D9"/>
              <w:bottom w:val="single" w:sz="4" w:color="D9D9D9"/>
              <w:right w:val="single" w:sz="4" w:color="D9D9D9"/>
            </w:tcBorders>
          </w:tcPr>
          <w:p>
            <w:r>
              <w:t>Formation, governance, ownership, capital, tax elections</w:t>
            </w:r>
          </w:p>
        </w:tc>
        <w:tc>
          <w:tcPr>
            <w:tcW w:type="dxa" w:w="4680"/>
            <w:tcBorders>
              <w:top w:val="single" w:sz="4" w:color="D9D9D9"/>
              <w:left w:val="single" w:sz="4" w:color="D9D9D9"/>
              <w:bottom w:val="single" w:sz="4" w:color="D9D9D9"/>
              <w:right w:val="single" w:sz="4" w:color="D9D9D9"/>
            </w:tcBorders>
          </w:tcPr>
          <w:p>
            <w:r>
              <w:t>Permanent</w:t>
            </w:r>
          </w:p>
        </w:tc>
      </w:tr>
      <w:tr>
        <w:tc>
          <w:tcPr>
            <w:tcW w:type="dxa" w:w="4680"/>
            <w:tcBorders>
              <w:top w:val="single" w:sz="4" w:color="D9D9D9"/>
              <w:left w:val="single" w:sz="4" w:color="D9D9D9"/>
              <w:bottom w:val="single" w:sz="4" w:color="D9D9D9"/>
              <w:right w:val="single" w:sz="4" w:color="D9D9D9"/>
            </w:tcBorders>
          </w:tcPr>
          <w:p>
            <w:r>
              <w:t>Tax returns, ledgers, bank/card statements, invoices, receipts</w:t>
            </w:r>
          </w:p>
        </w:tc>
        <w:tc>
          <w:tcPr>
            <w:tcW w:type="dxa" w:w="4680"/>
            <w:tcBorders>
              <w:top w:val="single" w:sz="4" w:color="D9D9D9"/>
              <w:left w:val="single" w:sz="4" w:color="D9D9D9"/>
              <w:bottom w:val="single" w:sz="4" w:color="D9D9D9"/>
              <w:right w:val="single" w:sz="4" w:color="D9D9D9"/>
            </w:tcBorders>
          </w:tcPr>
          <w:p>
            <w:r>
              <w:t>7 years</w:t>
            </w:r>
          </w:p>
        </w:tc>
      </w:tr>
      <w:tr>
        <w:tc>
          <w:tcPr>
            <w:tcW w:type="dxa" w:w="4680"/>
            <w:tcBorders>
              <w:top w:val="single" w:sz="4" w:color="D9D9D9"/>
              <w:left w:val="single" w:sz="4" w:color="D9D9D9"/>
              <w:bottom w:val="single" w:sz="4" w:color="D9D9D9"/>
              <w:right w:val="single" w:sz="4" w:color="D9D9D9"/>
            </w:tcBorders>
          </w:tcPr>
          <w:p>
            <w:r>
              <w:t>Contracts and vendor/customer files</w:t>
            </w:r>
          </w:p>
        </w:tc>
        <w:tc>
          <w:tcPr>
            <w:tcW w:type="dxa" w:w="4680"/>
            <w:tcBorders>
              <w:top w:val="single" w:sz="4" w:color="D9D9D9"/>
              <w:left w:val="single" w:sz="4" w:color="D9D9D9"/>
              <w:bottom w:val="single" w:sz="4" w:color="D9D9D9"/>
              <w:right w:val="single" w:sz="4" w:color="D9D9D9"/>
            </w:tcBorders>
          </w:tcPr>
          <w:p>
            <w:r>
              <w:t>Agreement term plus 7 years</w:t>
            </w:r>
          </w:p>
        </w:tc>
      </w:tr>
      <w:tr>
        <w:tc>
          <w:tcPr>
            <w:tcW w:type="dxa" w:w="4680"/>
            <w:tcBorders>
              <w:top w:val="single" w:sz="4" w:color="D9D9D9"/>
              <w:left w:val="single" w:sz="4" w:color="D9D9D9"/>
              <w:bottom w:val="single" w:sz="4" w:color="D9D9D9"/>
              <w:right w:val="single" w:sz="4" w:color="D9D9D9"/>
            </w:tcBorders>
          </w:tcPr>
          <w:p>
            <w:r>
              <w:t>Payroll, personnel, and benefits records</w:t>
            </w:r>
          </w:p>
        </w:tc>
        <w:tc>
          <w:tcPr>
            <w:tcW w:type="dxa" w:w="4680"/>
            <w:tcBorders>
              <w:top w:val="single" w:sz="4" w:color="D9D9D9"/>
              <w:left w:val="single" w:sz="4" w:color="D9D9D9"/>
              <w:bottom w:val="single" w:sz="4" w:color="D9D9D9"/>
              <w:right w:val="single" w:sz="4" w:color="D9D9D9"/>
            </w:tcBorders>
          </w:tcPr>
          <w:p>
            <w:r>
              <w:t>4 years or longer period required for the record</w:t>
            </w:r>
          </w:p>
        </w:tc>
      </w:tr>
      <w:tr>
        <w:tc>
          <w:tcPr>
            <w:tcW w:type="dxa" w:w="4680"/>
            <w:tcBorders>
              <w:top w:val="single" w:sz="4" w:color="D9D9D9"/>
              <w:left w:val="single" w:sz="4" w:color="D9D9D9"/>
              <w:bottom w:val="single" w:sz="4" w:color="D9D9D9"/>
              <w:right w:val="single" w:sz="4" w:color="D9D9D9"/>
            </w:tcBorders>
          </w:tcPr>
          <w:p>
            <w:r>
              <w:t>IIPP inspections/training and WVPP records</w:t>
            </w:r>
          </w:p>
        </w:tc>
        <w:tc>
          <w:tcPr>
            <w:tcW w:type="dxa" w:w="4680"/>
            <w:tcBorders>
              <w:top w:val="single" w:sz="4" w:color="D9D9D9"/>
              <w:left w:val="single" w:sz="4" w:color="D9D9D9"/>
              <w:bottom w:val="single" w:sz="4" w:color="D9D9D9"/>
              <w:right w:val="single" w:sz="4" w:color="D9D9D9"/>
            </w:tcBorders>
          </w:tcPr>
          <w:p>
            <w:r>
              <w:t>Periods stated in the applicable safety plan</w:t>
            </w:r>
          </w:p>
        </w:tc>
      </w:tr>
      <w:tr>
        <w:tc>
          <w:tcPr>
            <w:tcW w:type="dxa" w:w="4680"/>
            <w:tcBorders>
              <w:top w:val="single" w:sz="4" w:color="D9D9D9"/>
              <w:left w:val="single" w:sz="4" w:color="D9D9D9"/>
              <w:bottom w:val="single" w:sz="4" w:color="D9D9D9"/>
              <w:right w:val="single" w:sz="4" w:color="D9D9D9"/>
            </w:tcBorders>
          </w:tcPr>
          <w:p>
            <w:r>
              <w:t>Access, custody, and return records</w:t>
            </w:r>
          </w:p>
        </w:tc>
        <w:tc>
          <w:tcPr>
            <w:tcW w:type="dxa" w:w="4680"/>
            <w:tcBorders>
              <w:top w:val="single" w:sz="4" w:color="D9D9D9"/>
              <w:left w:val="single" w:sz="4" w:color="D9D9D9"/>
              <w:bottom w:val="single" w:sz="4" w:color="D9D9D9"/>
              <w:right w:val="single" w:sz="4" w:color="D9D9D9"/>
            </w:tcBorders>
          </w:tcPr>
          <w:p>
            <w:r>
              <w:t>Relationship term plus 4 years</w:t>
            </w:r>
          </w:p>
        </w:tc>
      </w:tr>
    </w:tbl>
    <w:p/>
    <w:p>
      <w:pPr>
        <w:pStyle w:val="Heading1"/>
      </w:pPr>
      <w:r>
        <w:t>9 Review</w:t>
      </w:r>
    </w:p>
    <w:p>
      <w:r>
        <w:t>The Manager reviews this manual each year and after a material change to the Company's work, people, systems, locations, or legal requirements. The adoption record identifies the current version and effective date.</w:t>
      </w:r>
    </w:p>
    <w:sectPr w:rsidR="00FC693F" w:rsidRPr="0006063C" w:rsidSect="00034616">
      <w:headerReference w:type="default" r:id="rId9"/>
      <w:footerReference w:type="default" r:id="rId10"/>
      <w:pgSz w:w="12240" w:h="15840"/>
      <w:pgMar w:top="1152" w:right="1440" w:bottom="1080" w:left="1440" w:header="504"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Adaptation draft | Not adopted</w:t>
      <w:rPr>
        <w:sz w:val="17"/>
      </w:rPr>
    </w:r>
    <w:r>
      <w:tab/>
      <w:rPr>
        <w:sz w:val="17"/>
      </w:rPr>
    </w:r>
    <w:r>
      <w:t xml:space="preserve">Page </w:t>
      <w:rPr>
        <w:sz w:val="17"/>
      </w:rPr>
    </w:r>
    <w:fldSimple w:instr="PAGE">
      <w:r>
        <w:t>1</w:t>
        <w:rPr>
          <w:sz w:val="17"/>
        </w:rPr>
      </w:r>
    </w:fldSimple>
    <w:r>
      <w:t xml:space="preserve"> of </w:t>
      <w:rPr>
        <w:sz w:val="17"/>
      </w:rPr>
    </w:r>
    <w:fldSimple w:instr="NUMPAGES">
      <w:r>
        <w:t>1</w:t>
        <w:rPr>
          <w:sz w:val="17"/>
        </w:rPr>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B6773"/>
        <w:sz w:val="17"/>
      </w:rPr>
      <w:t>Systematic Business Operations  |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lvlJc w:val="left"/>
      <w:pPr>
        <w:tabs>
          <w:tab w:val="num" w:pos="540"/>
        </w:tabs>
        <w:ind w:left="540" w:hanging="270"/>
      </w:pPr>
    </w:lvl>
  </w:abstractNum>
  <w:num w:numId="10">
    <w:abstractNumId w:val="9"/>
  </w:num>
  <w:abstractNum w:abstractNumId="10">
    <w:multiLevelType w:val="singleLevel"/>
    <w:lvl w:ilvl="0">
      <w:start w:val="1"/>
      <w:numFmt w:val="decimal"/>
      <w:lvlText w:val="%1."/>
      <w:suff w:val="tab"/>
      <w:lvlJc w:val="left"/>
      <w:pPr>
        <w:tabs>
          <w:tab w:val="num" w:pos="540"/>
        </w:tabs>
        <w:ind w:left="540" w:hanging="270"/>
      </w:pPr>
    </w:lvl>
  </w:abstractNum>
  <w:num w:numId="11">
    <w:abstractNumId w:val="10"/>
  </w:num>
  <w:abstractNum w:abstractNumId="11">
    <w:multiLevelType w:val="singleLevel"/>
    <w:lvl w:ilvl="0">
      <w:start w:val="1"/>
      <w:numFmt w:val="decimal"/>
      <w:lvlText w:val="%1."/>
      <w:suff w:val="tab"/>
      <w:lvlJc w:val="left"/>
      <w:pPr>
        <w:tabs>
          <w:tab w:val="num" w:pos="540"/>
        </w:tabs>
        <w:ind w:left="540" w:hanging="270"/>
      </w:pPr>
    </w:lvl>
  </w:abstractNum>
  <w:num w:numId="12">
    <w:abstractNumId w:val="11"/>
  </w:num>
  <w:abstractNum w:abstractNumId="12">
    <w:multiLevelType w:val="singleLevel"/>
    <w:lvl w:ilvl="0">
      <w:start w:val="1"/>
      <w:numFmt w:val="decimal"/>
      <w:lvlText w:val="%1."/>
      <w:suff w:val="tab"/>
      <w:lvlJc w:val="left"/>
      <w:pPr>
        <w:tabs>
          <w:tab w:val="num" w:pos="540"/>
        </w:tabs>
        <w:ind w:left="540" w:hanging="270"/>
      </w:pPr>
    </w:lvl>
  </w:abstractNum>
  <w:num w:numId="13">
    <w:abstractNumId w:val="12"/>
  </w:num>
  <w:abstractNum w:abstractNumId="13">
    <w:multiLevelType w:val="singleLevel"/>
    <w:lvl w:ilvl="0">
      <w:start w:val="1"/>
      <w:numFmt w:val="decimal"/>
      <w:lvlText w:val="%1."/>
      <w:suff w:val="tab"/>
      <w:lvlJc w:val="left"/>
      <w:pPr>
        <w:tabs>
          <w:tab w:val="num" w:pos="540"/>
        </w:tabs>
        <w:ind w:left="540" w:hanging="270"/>
      </w:pPr>
    </w:lvl>
  </w:abstractNum>
  <w:num w:numId="14">
    <w:abstractNumId w:val="13"/>
  </w:num>
  <w:abstractNum w:abstractNumId="14">
    <w:multiLevelType w:val="singleLevel"/>
    <w:lvl w:ilvl="0">
      <w:start w:val="1"/>
      <w:numFmt w:val="decimal"/>
      <w:lvlText w:val="%1."/>
      <w:suff w:val="tab"/>
      <w:lvlJc w:val="left"/>
      <w:pPr>
        <w:tabs>
          <w:tab w:val="num" w:pos="540"/>
        </w:tabs>
        <w:ind w:left="540" w:hanging="270"/>
      </w:pPr>
    </w:lvl>
  </w:abstractNum>
  <w:num w:numId="15">
    <w:abstractNumId w:val="14"/>
  </w:num>
  <w:abstractNum w:abstractNumId="15">
    <w:multiLevelType w:val="singleLevel"/>
    <w:lvl w:ilvl="0">
      <w:start w:val="1"/>
      <w:numFmt w:val="decimal"/>
      <w:lvlText w:val="%1."/>
      <w:suff w:val="tab"/>
      <w:lvlJc w:val="left"/>
      <w:pPr>
        <w:tabs>
          <w:tab w:val="num" w:pos="540"/>
        </w:tabs>
        <w:ind w:left="540" w:hanging="270"/>
      </w:pPr>
    </w:lvl>
  </w:abstract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6" w:lineRule="auto"/>
    </w:pPr>
    <w:rPr>
      <w:rFonts w:ascii="Aptos" w:hAnsi="Aptos"/>
      <w:color w:val="1721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Aptos Display" w:hAnsi="Aptos Display"/>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ptos Display" w:hAnsi="Aptos Display"/>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Display" w:hAnsi="Aptos Display"/>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6" w:lineRule="auto"/>
      <w:contextualSpacing/>
    </w:pPr>
    <w:rPr>
      <w:rFonts w:ascii="Aptos" w:hAnsi="Aptos"/>
      <w:sz w:val="20"/>
    </w:rPr>
  </w:style>
  <w:style w:type="paragraph" w:styleId="ListBullet2">
    <w:name w:val="List Bullet 2"/>
    <w:basedOn w:val="Normal"/>
    <w:uiPriority w:val="99"/>
    <w:unhideWhenUsed/>
    <w:rsid w:val="00326F90"/>
    <w:pPr>
      <w:numPr>
        <w:numId w:val="2"/>
      </w:numPr>
      <w:spacing w:after="80" w:line="276" w:lineRule="auto"/>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6" w:lineRule="auto"/>
      <w:contextualSpacing/>
    </w:pPr>
    <w:rPr>
      <w:rFonts w:ascii="Aptos" w:hAnsi="Aptos"/>
      <w:sz w:val="20"/>
    </w:rPr>
  </w:style>
  <w:style w:type="paragraph" w:styleId="ListNumber2">
    <w:name w:val="List Number 2"/>
    <w:basedOn w:val="Normal"/>
    <w:uiPriority w:val="99"/>
    <w:unhideWhenUsed/>
    <w:rsid w:val="0029639D"/>
    <w:pPr>
      <w:numPr>
        <w:numId w:val="6"/>
      </w:numPr>
      <w:spacing w:after="80" w:line="276" w:lineRule="auto"/>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ecklist">
    <w:name w:val="Checklist"/>
    <w:basedOn w:val="Normal"/>
    <w:pPr>
      <w:spacing w:after="80"/>
      <w:ind w:left="173" w:hanging="29"/>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Coulter Strategy Group LLC — Operations Manual — Local Review Candidate</dc:title>
  <dc:subject>Reusable internal operations procedures</dc:subject>
  <dc:creator>Systematic Business Operations</dc:creator>
  <cp:keywords>CSG, operations manual, internal controls, records, approval, entity separation</cp:keywords>
  <dc:description>Local review candidate; not issued policy.</dc:description>
  <cp:lastModifiedBy/>
  <cp:revision>1</cp:revision>
  <dcterms:created xsi:type="dcterms:W3CDTF">2013-12-23T23:15:00Z</dcterms:created>
  <dcterms:modified xsi:type="dcterms:W3CDTF">2013-12-23T23:15:00Z</dcterms:modified>
  <cp:category/>
</cp:coreProperties>
</file>