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Employee handbook</w:t>
      </w:r>
    </w:p>
    <w:p>
      <w:r>
        <w:drawing>
          <wp:inline xmlns:a="http://schemas.openxmlformats.org/drawingml/2006/main" xmlns:pic="http://schemas.openxmlformats.org/drawingml/2006/picture">
            <wp:extent cx="1554480" cy="911607"/>
            <wp:docPr id="1" name="Picture 1"/>
            <wp:cNvGraphicFramePr>
              <a:graphicFrameLocks noChangeAspect="1"/>
            </wp:cNvGraphicFramePr>
            <a:graphic>
              <a:graphicData uri="http://schemas.openxmlformats.org/drawingml/2006/picture">
                <pic:pic>
                  <pic:nvPicPr>
                    <pic:cNvPr id="0" name="Single Shot document logo.png"/>
                    <pic:cNvPicPr/>
                  </pic:nvPicPr>
                  <pic:blipFill>
                    <a:blip r:embed="rId11"/>
                    <a:stretch>
                      <a:fillRect/>
                    </a:stretch>
                  </pic:blipFill>
                  <pic:spPr>
                    <a:xfrm>
                      <a:off x="0" y="0"/>
                      <a:ext cx="1554480" cy="911607"/>
                    </a:xfrm>
                    <a:prstGeom prst="rect"/>
                  </pic:spPr>
                </pic:pic>
              </a:graphicData>
            </a:graphic>
          </wp:inline>
        </w:drawing>
      </w:r>
    </w:p>
    <w:p>
      <w:r>
        <w:t>Single Shot Adventures • September 16, 2026</w:t>
        <w:br/>
        <w:t>Prepared by the Coulter Strategy Group team</w:t>
      </w:r>
    </w:p>
    <w:p>
      <w:r>
        <w:t>EMPLOYER-REVIEW EDITION — NOT FOR EMPLOYEE ISSUE YET. This draft recovers applicable workplace practices from the retained Single Shot operating materials. It does not establish the legal employer, an employment relationship, a benefit, a pay rate, a permit or policy adoption.</w:t>
      </w:r>
    </w:p>
    <w:p>
      <w:pPr>
        <w:pStyle w:val="Heading2"/>
      </w:pPr>
      <w:r>
        <w:t>Purpose and use</w:t>
      </w:r>
    </w:p>
    <w:p>
      <w:r>
        <w:t>The proposed standards below connect guest service, field work and office coordination. The current operating manual remains the detailed activity reference. This handbook does not authorize an unreleased activity or replace a written employment offer, applicable law or an approved safety plan.</w:t>
      </w:r>
    </w:p>
    <w:p>
      <w:pPr>
        <w:pStyle w:val="Heading2"/>
      </w:pPr>
      <w:r>
        <w:t>Complete before issuing</w:t>
      </w:r>
    </w:p>
    <w:p>
      <w:r>
        <w:t>Legal employer and work locations: [owner to confirm].</w:t>
      </w:r>
    </w:p>
    <w:p>
      <w:r>
        <w:t>Effective date and approving employer representative: [not adopted].</w:t>
      </w:r>
    </w:p>
    <w:p>
      <w:r>
        <w:t>Supervisor / people contact: [name and reliable contact].</w:t>
      </w:r>
    </w:p>
    <w:p>
      <w:r>
        <w:t>Alternate reporting contact, outside the direct supervisor chain: [name and reliable contact].</w:t>
      </w:r>
    </w:p>
    <w:p>
      <w:r>
        <w:t>Payroll and expense contact; workweek, payday and time-record system: [confirm].</w:t>
      </w:r>
    </w:p>
    <w:p>
      <w:r>
        <w:t>Safety lead and emergency / field communications plan: [confirm for each activity and site].</w:t>
      </w:r>
    </w:p>
    <w:p>
      <w:r>
        <w:t>No named person in an older role map is assigned a job, ownership interest or compensation by this draft. Contractor status, governing jurisdiction and any exemptions require relationship-specific review.</w:t>
      </w:r>
    </w:p>
    <w:p>
      <w:r>
        <w:br w:type="page"/>
      </w:r>
    </w:p>
    <w:p>
      <w:pPr>
        <w:pStyle w:val="Heading1"/>
      </w:pPr>
      <w:r>
        <w:t>Working together and reporting concerns</w:t>
      </w:r>
    </w:p>
    <w:p>
      <w:pPr>
        <w:pStyle w:val="Heading2"/>
      </w:pPr>
      <w:r>
        <w:t>Respectful conduct</w:t>
      </w:r>
    </w:p>
    <w:p>
      <w:r>
        <w:t>Proposed policy: treat coworkers, guests, contractors and landowners respectfully. Discrimination, harassment, threats, bullying and retaliation are not acceptable. These expectations extend to work-related messages, travel, guest sites and online communications.</w:t>
      </w:r>
    </w:p>
    <w:p>
      <w:pPr>
        <w:pStyle w:val="Heading2"/>
      </w:pPr>
      <w:r>
        <w:t>A usable reporting route</w:t>
      </w:r>
    </w:p>
    <w:p>
      <w:r>
        <w:t>Report a concern promptly to the designated people contact or alternate contact. If a supervisor is involved, use the alternate route directly. A report may be verbal or written; include facts, dates and available records without collecting unnecessary private information. In an emergency, seek emergency assistance first.</w:t>
      </w:r>
    </w:p>
    <w:p>
      <w:r>
        <w:t>The employer should acknowledge the concern, arrange impartial fact review, protect records and communicate appropriate follow-up. Information should be limited to those who need it; absolute confidentiality cannot be promised. Good-faith reports and participation in reviews must not lead to retaliation. Internal reporting does not replace or restrict access to public agencies or other protected rights.</w:t>
      </w:r>
    </w:p>
    <w:p>
      <w:pPr>
        <w:pStyle w:val="Heading2"/>
      </w:pPr>
      <w:r>
        <w:t>Guest and youth boundaries</w:t>
      </w:r>
    </w:p>
    <w:p>
      <w:r>
        <w:t>Use approved communication channels and only the guest information needed for the assignment. Do not make unsupported promises about safety, access, wildlife, refunds or availability. Youth activities require an approved safeguarding plan, screening, supervision, consent, reporting and emergency arrangements before assignment; this draft sets no invented ratios or legal reporting deadlines.</w:t>
      </w:r>
    </w:p>
    <w:p>
      <w:pPr>
        <w:pStyle w:val="Heading2"/>
      </w:pPr>
      <w:r>
        <w:t>Accommodation and leave requests</w:t>
      </w:r>
    </w:p>
    <w:p>
      <w:r>
        <w:t>Employees should have a clear route to request workplace adjustments or leave through the people contact, with private information handled appropriately. The employer must complete the jurisdiction-specific accommodation and leave procedures before issue. No eligibility, paid-leave balance or benefit amount is assumed here.</w:t>
      </w:r>
    </w:p>
    <w:p>
      <w:r>
        <w:br w:type="page"/>
      </w:r>
    </w:p>
    <w:p>
      <w:pPr>
        <w:pStyle w:val="Heading1"/>
      </w:pPr>
      <w:r>
        <w:t>Time, pay and everyday administration</w:t>
      </w:r>
    </w:p>
    <w:p>
      <w:pPr>
        <w:pStyle w:val="Heading2"/>
      </w:pPr>
      <w:r>
        <w:t>Record the work actually performed</w:t>
      </w:r>
    </w:p>
    <w:p>
      <w:r>
        <w:t>Proposed policy: record all time worked accurately, including required preparation, briefing, training, work messages and closeout. Do not work off the clock or alter a record to match a budget. Travel, waiting, on-call time, breaks and overnight assignments require payroll review under the rules that apply to the actual job and location.</w:t>
      </w:r>
    </w:p>
    <w:p>
      <w:r>
        <w:t>Obtain approval for schedule changes and extra work where practicable, but report all hours actually worked even if approval was missing. Report a missing or incorrect payment promptly. Work authorization and accurate pay records are separate responsibilities.</w:t>
      </w:r>
    </w:p>
    <w:p>
      <w:pPr>
        <w:pStyle w:val="Heading2"/>
      </w:pPr>
      <w:r>
        <w:t>Written terms, not old examples</w:t>
      </w:r>
    </w:p>
    <w:p>
      <w:r>
        <w:t>The written offer and applicable payroll notices must identify classification, pay basis, rate and required terms. The July source contains suggested personal pay rates and founder economics; none is adopted here. Tips, incentives, reimbursements, meals and lodging must be treated under reviewed written arrangements, not informal assumptions.</w:t>
      </w:r>
    </w:p>
    <w:p>
      <w:pPr>
        <w:pStyle w:val="Heading2"/>
      </w:pPr>
      <w:r>
        <w:t>Attendance and expenses</w:t>
      </w:r>
    </w:p>
    <w:p>
      <w:r>
        <w:t>Use the agreed scheduling channel and notify the supervisor promptly if an assignment cannot be met. Do not leave a guest or safety-critical post without an appropriate handoff. Submit actual expenses with date, purpose, amount and receipt; the employer must supply the applicable reimbursement policy and contact. An approval rule must not be used to waive a legally required payment.</w:t>
      </w:r>
    </w:p>
    <w:p>
      <w:pPr>
        <w:pStyle w:val="Heading2"/>
      </w:pPr>
      <w:r>
        <w:t>Benefits and protected time</w:t>
      </w:r>
    </w:p>
    <w:p>
      <w:r>
        <w:t>Before issue, insert the applicable meal/rest procedures, sick leave and other protected leave, benefit eligibility and plan references. Benefits are not promised by this draft. Do not insert a single state’s rules until the employer, work locations and workforce are confirmed.</w:t>
      </w:r>
    </w:p>
    <w:p>
      <w:r>
        <w:br w:type="page"/>
      </w:r>
    </w:p>
    <w:p>
      <w:pPr>
        <w:pStyle w:val="Heading1"/>
      </w:pPr>
      <w:r>
        <w:t>Field safety and assignment readiness</w:t>
      </w:r>
    </w:p>
    <w:p>
      <w:pPr>
        <w:pStyle w:val="Heading2"/>
      </w:pPr>
      <w:r>
        <w:t>Stop, protect and report</w:t>
      </w:r>
    </w:p>
    <w:p>
      <w:r>
        <w:t>Proposed operating standard: anyone may pause work for a credible safety concern. Protect people first, seek emergency assistance when needed and notify the designated field lead. A qualified responsible lead verifies correction and documents restart. A customer waiver or acknowledgment is not a substitute for a required safety control.</w:t>
      </w:r>
    </w:p>
    <w:p>
      <w:pPr>
        <w:pStyle w:val="Heading2"/>
      </w:pPr>
      <w:r>
        <w:t>Before assigning field work</w:t>
      </w:r>
    </w:p>
    <w:p>
      <w:r>
        <w:t>Confirm the actual product, site permission, required credentials, training, equipment condition and emergency communications. Review weather, fire, terrain, transport, food and remoteness risks for the specific activity. Use the retained trip-release, site, briefing, incident and corrective-action forms. Blank forms and attendance at training do not establish competence.</w:t>
      </w:r>
    </w:p>
    <w:p>
      <w:r>
        <w:t>Verify each person’s relevant qualifications and observe practice before independent guest assignments. Record the scope, limits, reviewer, date and refresher or expiration trigger. Driving, firearms, medical response, youth work and regulated instruction need their own applicable approval; this handbook grants none.</w:t>
      </w:r>
    </w:p>
    <w:p>
      <w:pPr>
        <w:pStyle w:val="Heading2"/>
      </w:pPr>
      <w:r>
        <w:t>Fit for duty and incidents</w:t>
      </w:r>
    </w:p>
    <w:p>
      <w:r>
        <w:t>Do not drive or perform safety-sensitive work while impaired or too fatigued to do it safely. Raise a fitness-for-duty concern through the designated contact without sharing unnecessary medical details with guests or coworkers. Report injuries, near misses, equipment defects and unsafe conditions promptly; preserve facts and follow the incident plan.</w:t>
      </w:r>
    </w:p>
    <w:p>
      <w:pPr>
        <w:pStyle w:val="Heading2"/>
      </w:pPr>
      <w:r>
        <w:t>Site-specific completion</w:t>
      </w:r>
    </w:p>
    <w:p>
      <w:r>
        <w:t>The employer must complete the actual hazard assessment, training, protective equipment, emergency contacts, reporting responsibilities and applicable safety plans. The general procedures here are not an adopted injury-prevention or workplace-violence plan and are not a certification of compliance.</w:t>
      </w:r>
    </w:p>
    <w:p>
      <w:r>
        <w:br w:type="page"/>
      </w:r>
    </w:p>
    <w:p>
      <w:pPr>
        <w:pStyle w:val="Heading1"/>
      </w:pPr>
      <w:r>
        <w:t>Records, equipment and follow-through</w:t>
      </w:r>
    </w:p>
    <w:p>
      <w:pPr>
        <w:pStyle w:val="Heading2"/>
      </w:pPr>
      <w:r>
        <w:t>Keep one reliable work record</w:t>
      </w:r>
    </w:p>
    <w:p>
      <w:r>
        <w:t>Use approved systems, individual accounts and role-appropriate access. Record actual guest commitments, time, inspections, costs and incidents truthfully. Never falsify or backdate a record. Report a lost device, misdirected message, suspected compromise or unauthorized disclosure promptly through the assigned contact.</w:t>
      </w:r>
    </w:p>
    <w:p>
      <w:r>
        <w:t>Protect guest, employee and business records according to role and purpose. Do not place sensitive information in unapproved AI or personal tools. These controls do not prohibit lawful discussion of working conditions, protected reporting, or communication with public agencies.</w:t>
      </w:r>
    </w:p>
    <w:p>
      <w:pPr>
        <w:pStyle w:val="Heading2"/>
      </w:pPr>
      <w:r>
        <w:t>Equipment and authority</w:t>
      </w:r>
    </w:p>
    <w:p>
      <w:r>
        <w:t>Record custody and condition of issued keys, devices, vehicles and equipment. Use them only within written authorization, report defects and arrange documented return. Possession, repairs, storage or this handbook do not determine legal ownership. Do not create spending commitments, refunds, public claims or access grants outside assigned authority.</w:t>
      </w:r>
    </w:p>
    <w:p>
      <w:pPr>
        <w:pStyle w:val="Heading2"/>
      </w:pPr>
      <w:r>
        <w:t>Coaching, changes and departure</w:t>
      </w:r>
    </w:p>
    <w:p>
      <w:r>
        <w:t>Set clear role outcomes and provide factual feedback, support and follow-up. Review concerns consistently and without retaliation for protected activity. This draft does not promise a fixed disciplinary sequence or establish employment duration or termination terms.</w:t>
      </w:r>
    </w:p>
    <w:p>
      <w:r>
        <w:t>At departure or reassignment, designate a successor for open guest commitments and records, arrange asset return and have authorized administrators adjust access. Payroll and the employer must review final pay, expenses, benefits and notices under applicable requirements; do not withhold legally due pay as leverage for property return.</w:t>
      </w:r>
    </w:p>
    <w:p>
      <w:pPr>
        <w:pStyle w:val="Heading2"/>
      </w:pPr>
      <w:r>
        <w:t>Receipt after review and adoption</w:t>
      </w:r>
    </w:p>
    <w:p>
      <w:r>
        <w:t>Employee name: ____________________    Date: ____________________</w:t>
        <w:br/>
        <w:t>Employer representative: ____________________</w:t>
        <w:br/>
        <w:t>Receipt acknowledges access to the adopted version and reporting contacts, not agreement to waive legal rights. Do not seek acknowledgment of this unfinished review draft.</w:t>
      </w:r>
    </w:p>
    <w:p>
      <w:r>
        <w:br w:type="page"/>
      </w:r>
    </w:p>
    <w:p>
      <w:pPr>
        <w:pStyle w:val="Heading1"/>
      </w:pPr>
      <w:r>
        <w:t>Employer completion and source record</w:t>
      </w:r>
    </w:p>
    <w:p>
      <w:pPr>
        <w:pStyle w:val="Heading2"/>
      </w:pPr>
      <w:r>
        <w:t>Decisions needed for employee issue</w:t>
      </w:r>
    </w:p>
    <w:p>
      <w:r>
        <w:t>Employer, locations, workforce and job classifications; reviewed written offers.</w:t>
      </w:r>
    </w:p>
    <w:p>
      <w:r>
        <w:t>Named supervisor, people contact, independent alternate and payroll contact.</w:t>
      </w:r>
    </w:p>
    <w:p>
      <w:r>
        <w:t>Payday, workweek, timekeeping, travel/on-call/break treatment and reimbursement.</w:t>
      </w:r>
    </w:p>
    <w:p>
      <w:r>
        <w:t>Applicable leave, accommodations, benefits, workers’ compensation and required notices.</w:t>
      </w:r>
    </w:p>
    <w:p>
      <w:r>
        <w:t>Activity-specific qualifications, safety plans, youth safeguards and emergency arrangements.</w:t>
      </w:r>
    </w:p>
    <w:p>
      <w:r>
        <w:t>Authorized reviewer, approval date, version owner and employee distribution method.</w:t>
      </w:r>
    </w:p>
    <w:p>
      <w:pPr>
        <w:pStyle w:val="Heading2"/>
      </w:pPr>
      <w:r>
        <w:t>Retained material used</w:t>
      </w:r>
    </w:p>
    <w:p>
      <w:r>
        <w:t>Single Shot Operating System, Founder’s Edition 2.7, July 19, 2026: physical PDF pages 47–49, sections 14.1–14.8 (people, conduct, qualification, safeguarding and continuity); earlier stop-work and record principles. September 12 complete operations manual: field preparation, guest care, incident response and controlled records. Historic pay, equity, named-role appointments, spending limits and “launch-ready/current” declarations are not carried forward as facts.</w:t>
      </w:r>
    </w:p>
    <w:p>
      <w:pPr>
        <w:pStyle w:val="Heading2"/>
      </w:pPr>
      <w:r>
        <w:t>Current general references — reviewed September 16, 2026</w:t>
      </w:r>
    </w:p>
    <w:p>
      <w:r>
        <w:t>U.S. Department of Labor — Wages and the Fair Labor Standards Act</w:t>
        <w:br/>
        <w:t>https://www.dol.gov/agencies/whd/flsa</w:t>
      </w:r>
    </w:p>
    <w:p>
      <w:r>
        <w:t>EEOC — Retaliation prevention for small employers</w:t>
        <w:br/>
        <w:t>https://www.eeoc.gov/employers/small-business/8-what-retaliation-and-how-can-i-prevent-it</w:t>
      </w:r>
    </w:p>
    <w:p>
      <w:r>
        <w:t>OSHA — Worker rights and protections</w:t>
        <w:br/>
        <w:t>https://www.osha.gov/workers</w:t>
      </w:r>
    </w:p>
    <w:p>
      <w:r>
        <w:t>These sources support the general safeguards, not a conclusion about Single Shot’s coverage or state-specific obligations. Employment/HR and qualified safety review is required before adoption; owner completion is limited to the actual fields above.</w:t>
      </w:r>
    </w:p>
    <w:sectPr w:rsidR="00FC693F" w:rsidRPr="0006063C" w:rsidSect="00034616">
      <w:headerReference w:type="default" r:id="rId9"/>
      <w:footerReference w:type="default" r:id="rId10"/>
      <w:pgSz w:w="12240" w:h="15840"/>
      <w:pgMar w:top="1008" w:right="1008" w:bottom="1008" w:left="1008"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Review only • Not adopted    |    Page </w:t>
    </w:r>
    <w:fldSimple w:instr="PAGE"/>
    <w:r>
      <w:t xml:space="preserve"> of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SINGLE SHOT ADVENTURES  /  EMPLOYER REVIEW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color w:val="1726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Calibri" w:hAnsi="Calibri"/>
      <w:b/>
      <w:bCs/>
      <w:color w:val="122E45"/>
      <w:sz w:val="42"/>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Calibri" w:hAnsi="Calibri"/>
      <w:b/>
      <w:bCs/>
      <w:color w:val="122E4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Calibri" w:hAnsi="Calibri"/>
      <w:color w:val="122E4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60"/>
    </w:pPr>
    <w:rPr>
      <w:rFonts w:ascii="Calibri" w:hAnsi="Calibri"/>
      <w:color w:val="172633"/>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